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 Power Agreement Key Business Points</w:t>
      </w:r>
    </w:p>
    <w:p>
      <w:pPr>
        <w:pStyle w:val="Normal"/>
        <w:rPr>
          <w:b/>
          <w:sz w:val="28"/>
        </w:rPr>
      </w:pPr>
      <w:r>
        <w:rPr>
          <w:b/>
          <w:sz w:val="28"/>
        </w:rPr>
      </w:r>
    </w:p>
    <w:p>
      <w:pPr>
        <w:pStyle w:val="Normal"/>
        <w:rPr>
          <w:b/>
        </w:rPr>
      </w:pPr>
      <w:r>
        <w:rPr>
          <w:b/>
        </w:rPr>
      </w:r>
    </w:p>
    <w:p>
      <w:pPr>
        <w:pStyle w:val="Normal"/>
        <w:rPr/>
      </w:pPr>
      <w:r>
        <w:rPr>
          <w:b/>
          <w:u w:val="single"/>
        </w:rPr>
        <w:t>Quantity/Term:</w:t>
      </w:r>
      <w:r>
        <w:rPr/>
        <w:tab/>
        <w:t>150 Mw April 1, 2000 through June 30, 2001</w:t>
      </w:r>
    </w:p>
    <w:p>
      <w:pPr>
        <w:pStyle w:val="Normal"/>
        <w:rPr/>
      </w:pPr>
      <w:r>
        <w:rPr/>
        <w:tab/>
        <w:tab/>
        <w:tab/>
        <w:t>200 Mw October 1, 2001 through September 30, 2006</w:t>
      </w:r>
    </w:p>
    <w:p>
      <w:pPr>
        <w:pStyle w:val="Normal"/>
        <w:rPr/>
      </w:pPr>
      <w:r>
        <w:rPr/>
      </w:r>
    </w:p>
    <w:p>
      <w:pPr>
        <w:pStyle w:val="Normal"/>
        <w:ind w:hanging="2160" w:start="2160" w:end="0"/>
        <w:rPr/>
      </w:pPr>
      <w:r>
        <w:rPr>
          <w:b/>
          <w:u w:val="single"/>
        </w:rPr>
        <w:t>Service:</w:t>
      </w:r>
      <w:r>
        <w:rPr/>
        <w:tab/>
        <w:t xml:space="preserve">Firm Energy means energy which seller is obligated to make available to and sell to buyer unless excused by an event of </w:t>
      </w:r>
      <w:r>
        <w:rPr>
          <w:u w:val="single"/>
        </w:rPr>
        <w:t>force</w:t>
      </w:r>
      <w:r>
        <w:rPr/>
        <w:t xml:space="preserve"> </w:t>
      </w:r>
      <w:r>
        <w:rPr>
          <w:u w:val="single"/>
        </w:rPr>
        <w:t>majeure</w:t>
      </w:r>
      <w:r>
        <w:rPr/>
        <w:t>, and includes any reserves that are required by a transmission provider</w:t>
      </w:r>
    </w:p>
    <w:p>
      <w:pPr>
        <w:pStyle w:val="Normal"/>
        <w:rPr/>
      </w:pPr>
      <w:r>
        <w:rPr/>
      </w:r>
    </w:p>
    <w:p>
      <w:pPr>
        <w:pStyle w:val="Normal"/>
        <w:rPr/>
      </w:pPr>
      <w:r>
        <w:rPr>
          <w:b/>
          <w:u w:val="single"/>
        </w:rPr>
        <w:t>Delivery Hours:</w:t>
      </w:r>
      <w:r>
        <w:rPr/>
        <w:tab/>
        <w:t>All hours during the Terms (100% Load Factor)</w:t>
      </w:r>
    </w:p>
    <w:p>
      <w:pPr>
        <w:pStyle w:val="Normal"/>
        <w:rPr/>
      </w:pPr>
      <w:r>
        <w:rPr/>
      </w:r>
    </w:p>
    <w:p>
      <w:pPr>
        <w:pStyle w:val="Normal"/>
        <w:ind w:hanging="2160" w:start="2160" w:end="0"/>
        <w:rPr/>
      </w:pPr>
      <w:r>
        <w:rPr>
          <w:b/>
          <w:u w:val="single"/>
        </w:rPr>
        <w:t>Price:</w:t>
      </w:r>
      <w:r>
        <w:rPr/>
        <w:tab/>
        <w:t>Firm Energy Index Rate per Mwh plus $0.50, where Firm Energy Index Rate equals the weighted average for the delivery month of the Dow Jones Mid-Columbia Daily Firm Index of energy prices for on peak and off peak hours (using the Sunday 24 hour index for Sundays and NERC holidays) as published by Dow Jones Telerate plus any costs associated with transmission on the BPA or Avista transmission systems incurred by Enron, or a mutually agreed to price between the Parties.</w:t>
      </w:r>
    </w:p>
    <w:p>
      <w:pPr>
        <w:pStyle w:val="Normal"/>
        <w:ind w:hanging="2160" w:start="2160" w:end="0"/>
        <w:rPr>
          <w:b/>
          <w:u w:val="single"/>
        </w:rPr>
      </w:pPr>
      <w:r>
        <w:rPr>
          <w:b/>
          <w:u w:val="single"/>
        </w:rPr>
      </w:r>
    </w:p>
    <w:p>
      <w:pPr>
        <w:pStyle w:val="Normal"/>
        <w:ind w:hanging="2160" w:start="2160" w:end="0"/>
        <w:rPr/>
      </w:pPr>
      <w:r>
        <w:rPr>
          <w:b/>
          <w:u w:val="single"/>
        </w:rPr>
        <w:t>Delivery Point:</w:t>
      </w:r>
      <w:r>
        <w:rPr/>
        <w:tab/>
        <w:t xml:space="preserve">For the term April 1, 2000 through June 30, 2001 the Avista Corporation 230 Kv Benewah, Idaho substation or other points as mutually agreed to by the Parties. For the term October 1, 2001 through September 30, 2006 the Delivery Point shall be the point or points as specified by Enron, from time to time, on BPA’s network transmission system. </w:t>
      </w:r>
    </w:p>
    <w:p>
      <w:pPr>
        <w:pStyle w:val="Normal"/>
        <w:ind w:hanging="2160" w:start="2160" w:end="0"/>
        <w:rPr>
          <w:b/>
          <w:u w:val="single"/>
        </w:rPr>
      </w:pPr>
      <w:r>
        <w:rPr>
          <w:b/>
          <w:u w:val="single"/>
        </w:rPr>
      </w:r>
    </w:p>
    <w:p>
      <w:pPr>
        <w:pStyle w:val="Normal"/>
        <w:ind w:start="2160" w:end="0"/>
        <w:rPr/>
      </w:pPr>
      <w:r>
        <w:rPr/>
        <w:t xml:space="preserve">Beyond the Enron Delivery Point(s), all energy deliveries shall utilize firm transmission service that Kaiser has obtained (or is able to obtain), inclusive of alternate point of delivery capabilities (which may result in the </w:t>
      </w:r>
      <w:r>
        <w:rPr>
          <w:i/>
        </w:rPr>
        <w:t>transmission</w:t>
      </w:r>
      <w:r>
        <w:rPr/>
        <w:t xml:space="preserve"> being tagged as non-firm). Enron will facilitate the scheduling of such transmission on Kaiser’s behalf. The intent of this provision is that Enron shall be responsible for transmission costs of delivering Firm Energy to points of interconnection with or within BPA’s network and Kaiser shall be financially responsible for the delivery of such Firm Energy over the BPA and Avista transmission networks to Benewah and/or Kaiser’s production facilities.  </w:t>
      </w:r>
    </w:p>
    <w:p>
      <w:pPr>
        <w:pStyle w:val="Normal"/>
        <w:ind w:start="2160" w:end="0"/>
        <w:rPr/>
      </w:pPr>
      <w:r>
        <w:rPr/>
      </w:r>
    </w:p>
    <w:p>
      <w:pPr>
        <w:pStyle w:val="Normal"/>
        <w:ind w:start="2160" w:end="0"/>
        <w:rPr/>
      </w:pPr>
      <w:r>
        <w:rPr/>
        <w:t>The parties recognize that a Northwest Regional Transmission Organization (RTO), including BPA, may become operational during the term of this Agreement. Should BPA join an RTO or similar entity, that operationally or financially impacts transmission services, the parties shall be obligated, at either party’s request, to enter into good faith discussions to determine the financial impact to each party of such an event. Any changes to this Agreement resulting from such discussions shall be by mutual agreement.</w:t>
      </w:r>
    </w:p>
    <w:p>
      <w:pPr>
        <w:pStyle w:val="Normal"/>
        <w:ind w:hanging="2160" w:start="2160" w:end="0"/>
        <w:rPr>
          <w:b/>
          <w:u w:val="single"/>
        </w:rPr>
      </w:pPr>
      <w:r>
        <w:rPr>
          <w:b/>
          <w:u w:val="single"/>
        </w:rPr>
      </w:r>
    </w:p>
    <w:p>
      <w:pPr>
        <w:pStyle w:val="Normal"/>
        <w:ind w:hanging="2160" w:start="2160" w:end="0"/>
        <w:rPr/>
      </w:pPr>
      <w:r>
        <w:rPr>
          <w:b/>
          <w:u w:val="single"/>
        </w:rPr>
        <w:t>Remarketing:</w:t>
      </w:r>
      <w:r>
        <w:rPr/>
        <w:tab/>
        <w:t>Included in the Agreement would be language that achieves Kaiser’s financial interests and Enron’s legal interests consistent with the concept of remarketing.</w:t>
      </w:r>
    </w:p>
    <w:p>
      <w:pPr>
        <w:pStyle w:val="Normal"/>
        <w:ind w:hanging="2160" w:start="2160" w:end="0"/>
        <w:rPr>
          <w:b/>
          <w:u w:val="single"/>
        </w:rPr>
      </w:pPr>
      <w:r>
        <w:rPr>
          <w:b/>
          <w:u w:val="single"/>
        </w:rPr>
      </w:r>
    </w:p>
    <w:p>
      <w:pPr>
        <w:pStyle w:val="Normal"/>
        <w:ind w:hanging="2160" w:start="2160" w:end="0"/>
        <w:rPr>
          <w:b/>
          <w:u w:val="single"/>
        </w:rPr>
      </w:pPr>
      <w:r>
        <w:rPr>
          <w:b/>
          <w:u w:val="single"/>
        </w:rPr>
      </w:r>
    </w:p>
    <w:p>
      <w:pPr>
        <w:pStyle w:val="Normal"/>
        <w:ind w:hanging="2160" w:start="2160" w:end="0"/>
        <w:rPr/>
      </w:pPr>
      <w:r>
        <w:rPr>
          <w:b/>
          <w:u w:val="single"/>
        </w:rPr>
        <w:t>Payment:</w:t>
      </w:r>
      <w:r>
        <w:rPr/>
        <w:tab/>
        <w:t>Payments for amounts billed under a power sales agreement shall be paid so that such payments are received by Enron on the 20</w:t>
      </w:r>
      <w:r>
        <w:rPr>
          <w:vertAlign w:val="superscript"/>
        </w:rPr>
        <w:t>th</w:t>
      </w:r>
      <w:r>
        <w:rPr/>
        <w:t xml:space="preserve"> day of the invoicing month or the tenth day after receipt of the bill, whichever is later.</w:t>
      </w:r>
    </w:p>
    <w:p>
      <w:pPr>
        <w:pStyle w:val="Normal"/>
        <w:ind w:hanging="2160" w:start="2160" w:end="0"/>
        <w:rPr>
          <w:b/>
          <w:u w:val="single"/>
        </w:rPr>
      </w:pPr>
      <w:r>
        <w:rPr>
          <w:b/>
          <w:u w:val="single"/>
        </w:rPr>
      </w:r>
    </w:p>
    <w:p>
      <w:pPr>
        <w:pStyle w:val="Normal"/>
        <w:ind w:hanging="2160" w:start="2160" w:end="0"/>
        <w:rPr>
          <w:b/>
          <w:u w:val="single"/>
        </w:rPr>
      </w:pPr>
      <w:r>
        <w:rPr>
          <w:b/>
          <w:u w:val="single"/>
        </w:rPr>
      </w:r>
    </w:p>
    <w:p>
      <w:pPr>
        <w:pStyle w:val="Normal"/>
        <w:ind w:hanging="2160" w:start="2160" w:end="0"/>
        <w:rPr/>
      </w:pPr>
      <w:r>
        <w:rPr/>
      </w:r>
    </w:p>
    <w:p>
      <w:pPr>
        <w:pStyle w:val="Normal"/>
        <w:ind w:hanging="2160" w:start="2160" w:end="0"/>
        <w:rPr/>
      </w:pPr>
      <w:r>
        <w:rPr/>
      </w:r>
    </w:p>
    <w:p>
      <w:pPr>
        <w:pStyle w:val="BodyText3"/>
        <w:rPr/>
      </w:pPr>
      <w:r>
        <w:rPr/>
        <w:t>This Discussion Outline is for discussion purposes only to facilitate the negotiation, preparation, and execution of definitive documents.  It is not intended to create a binding or enforceable contract or to be complete and all inclusive of the terms of the related transaction.  This is not an offer or a commitment of Enron or Kaiser or any parent or affiliate of either.  The transaction described above is not complete, is subject to further review and approval by the boards of directors of the parties and the execution of definitive agreements containing all appropriate provisions, including, but not limited to, those relating to credit, limitation of damages, remedies and force majeure.  The prices are notional and are subject to change during the time period of evaluation and negotiation of definitive agreements.</w:t>
      </w:r>
    </w:p>
    <w:p>
      <w:pPr>
        <w:pStyle w:val="Normal"/>
        <w:ind w:hanging="2160" w:start="2160" w:end="0"/>
        <w:rPr/>
      </w:pPr>
      <w:r>
        <w:rPr/>
      </w:r>
    </w:p>
    <w:sectPr>
      <w:type w:val="nextPage"/>
      <w:pgSz w:w="12240" w:h="15840"/>
      <w:pgMar w:left="1800" w:right="1800" w:gutter="0" w:header="0" w:top="117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ind w:hanging="0" w:start="0" w:end="-216"/>
      <w:jc w:val="center"/>
    </w:pPr>
    <w:rPr>
      <w:rFonts w:ascii="Arial" w:hAnsi="Arial" w:cs="Arial"/>
      <w:b/>
      <w:i/>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2000-03-08T14:08:00Z</dcterms:created>
  <dc:creator>Joe Hoerner</dc:creator>
  <dc:description/>
  <dc:language>en-CA</dc:language>
  <cp:lastModifiedBy>gwolfe</cp:lastModifiedBy>
  <cp:lastPrinted>2000-03-08T13:19:00Z</cp:lastPrinted>
  <dcterms:modified xsi:type="dcterms:W3CDTF">2000-03-08T21:16:00Z</dcterms:modified>
  <cp:revision>16</cp:revision>
  <dc:subject/>
  <dc:title>Enron Power Agreement Key Business Points</dc:title>
</cp:coreProperties>
</file>