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STATE OF FLORIDA</w:t>
      </w:r>
    </w:p>
    <w:p>
      <w:pPr>
        <w:pStyle w:val="Normal"/>
        <w:jc w:val="center"/>
        <w:rPr/>
      </w:pPr>
      <w:r>
        <w:rPr/>
        <w:t>DEPARTMENT OF ENVIRONMENTAL PROTECTION</w:t>
      </w:r>
    </w:p>
    <w:p>
      <w:pPr>
        <w:pStyle w:val="Normal"/>
        <w:rPr/>
      </w:pPr>
      <w:r>
        <w:rPr/>
      </w:r>
    </w:p>
    <w:p>
      <w:pPr>
        <w:pStyle w:val="Normal"/>
        <w:rPr/>
      </w:pPr>
      <w:r>
        <w:rPr/>
      </w:r>
    </w:p>
    <w:tbl>
      <w:tblPr>
        <w:tblW w:w="9216" w:type="dxa"/>
        <w:jc w:val="start"/>
        <w:tblInd w:w="0" w:type="dxa"/>
        <w:tblLayout w:type="fixed"/>
        <w:tblCellMar>
          <w:top w:w="0" w:type="dxa"/>
          <w:start w:w="108" w:type="dxa"/>
          <w:bottom w:w="0" w:type="dxa"/>
          <w:end w:w="108" w:type="dxa"/>
        </w:tblCellMar>
      </w:tblPr>
      <w:tblGrid>
        <w:gridCol w:w="4878"/>
        <w:gridCol w:w="4338"/>
      </w:tblGrid>
      <w:tr>
        <w:trPr/>
        <w:tc>
          <w:tcPr>
            <w:tcW w:w="4878" w:type="dxa"/>
            <w:tcBorders>
              <w:bottom w:val="single" w:sz="6" w:space="0" w:color="000000"/>
              <w:end w:val="single" w:sz="4" w:space="0" w:color="000000"/>
            </w:tcBorders>
          </w:tcPr>
          <w:p>
            <w:pPr>
              <w:pStyle w:val="Normal"/>
              <w:rPr/>
            </w:pPr>
            <w:r>
              <w:rPr/>
              <w:t>CITY OF COCONUT CREEK,</w:t>
            </w:r>
          </w:p>
          <w:p>
            <w:pPr>
              <w:pStyle w:val="Normal"/>
              <w:rPr/>
            </w:pPr>
            <w:r>
              <w:rPr/>
            </w:r>
          </w:p>
          <w:p>
            <w:pPr>
              <w:pStyle w:val="Normal"/>
              <w:rPr/>
            </w:pPr>
            <w:r>
              <w:rPr/>
              <w:tab/>
              <w:t>Petitioner,</w:t>
            </w:r>
          </w:p>
          <w:p>
            <w:pPr>
              <w:pStyle w:val="Normal"/>
              <w:rPr/>
            </w:pPr>
            <w:r>
              <w:rPr/>
            </w:r>
          </w:p>
          <w:p>
            <w:pPr>
              <w:pStyle w:val="Normal"/>
              <w:rPr/>
            </w:pPr>
            <w:r>
              <w:rPr/>
              <w:t>v.</w:t>
            </w:r>
          </w:p>
          <w:p>
            <w:pPr>
              <w:pStyle w:val="Normal"/>
              <w:rPr/>
            </w:pPr>
            <w:r>
              <w:rPr/>
            </w:r>
          </w:p>
          <w:p>
            <w:pPr>
              <w:pStyle w:val="Normal"/>
              <w:rPr/>
            </w:pPr>
            <w:r>
              <w:rPr/>
              <w:t>STATE OF FLORIDA DEPARTMENT OF ENVIRONMENTAL PROTECTION,</w:t>
            </w:r>
          </w:p>
          <w:p>
            <w:pPr>
              <w:pStyle w:val="Normal"/>
              <w:rPr/>
            </w:pPr>
            <w:r>
              <w:rPr/>
            </w:r>
          </w:p>
          <w:p>
            <w:pPr>
              <w:pStyle w:val="Normal"/>
              <w:rPr/>
            </w:pPr>
            <w:r>
              <w:rPr/>
              <w:t>and</w:t>
            </w:r>
          </w:p>
          <w:p>
            <w:pPr>
              <w:pStyle w:val="Normal"/>
              <w:rPr/>
            </w:pPr>
            <w:r>
              <w:rPr/>
            </w:r>
          </w:p>
          <w:p>
            <w:pPr>
              <w:pStyle w:val="Normal"/>
              <w:rPr/>
            </w:pPr>
            <w:r>
              <w:rPr/>
              <w:t>POMPANO BEACH ENERGY CENTER, L.L.C.</w:t>
            </w:r>
          </w:p>
          <w:p>
            <w:pPr>
              <w:pStyle w:val="Normal"/>
              <w:rPr/>
            </w:pPr>
            <w:r>
              <w:rPr/>
              <w:t>(AN AFFILIATE OF ENRON NORTH AMERICA),</w:t>
            </w:r>
          </w:p>
          <w:p>
            <w:pPr>
              <w:pStyle w:val="Normal"/>
              <w:rPr/>
            </w:pPr>
            <w:r>
              <w:rPr/>
            </w:r>
          </w:p>
          <w:p>
            <w:pPr>
              <w:pStyle w:val="Normal"/>
              <w:rPr/>
            </w:pPr>
            <w:r>
              <w:rPr/>
              <w:tab/>
              <w:t>Respondents.</w:t>
            </w:r>
          </w:p>
          <w:p>
            <w:pPr>
              <w:pStyle w:val="Normal"/>
              <w:rPr/>
            </w:pPr>
            <w:r>
              <w:rPr/>
            </w:r>
          </w:p>
        </w:tc>
        <w:tc>
          <w:tcPr>
            <w:tcW w:w="4338" w:type="dxa"/>
            <w:tcBorders>
              <w:start w:val="single" w:sz="4" w:space="0" w:color="000000"/>
            </w:tcBorders>
          </w:tcPr>
          <w:p>
            <w:pPr>
              <w:pStyle w:val="Normal"/>
              <w:snapToGrid w:val="false"/>
              <w:rPr/>
            </w:pPr>
            <w:r>
              <w:rPr/>
            </w:r>
          </w:p>
          <w:p>
            <w:pPr>
              <w:pStyle w:val="Normal"/>
              <w:rPr/>
            </w:pPr>
            <w:r>
              <w:rPr/>
            </w:r>
          </w:p>
          <w:p>
            <w:pPr>
              <w:pStyle w:val="Normal"/>
              <w:rPr/>
            </w:pPr>
            <w:r>
              <w:rPr/>
            </w:r>
          </w:p>
          <w:p>
            <w:pPr>
              <w:pStyle w:val="Normal"/>
              <w:rPr/>
            </w:pPr>
            <w:r>
              <w:rPr/>
            </w:r>
          </w:p>
          <w:p>
            <w:pPr>
              <w:pStyle w:val="Normal"/>
              <w:jc w:val="center"/>
              <w:rPr>
                <w:smallCaps/>
              </w:rPr>
            </w:pPr>
            <w:r>
              <w:rPr>
                <w:smallCaps/>
              </w:rPr>
              <w:t xml:space="preserve">Case No. </w:t>
            </w:r>
          </w:p>
          <w:p>
            <w:pPr>
              <w:pStyle w:val="Normal"/>
              <w:jc w:val="center"/>
              <w:rPr>
                <w:smallCaps/>
              </w:rPr>
            </w:pPr>
            <w:r>
              <w:rPr>
                <w:smallCaps/>
              </w:rPr>
              <w:t>FDEP File No.  00112515-001-AC</w:t>
            </w:r>
          </w:p>
          <w:p>
            <w:pPr>
              <w:pStyle w:val="Normal"/>
              <w:jc w:val="center"/>
              <w:rPr>
                <w:smallCaps/>
              </w:rPr>
            </w:pPr>
            <w:r>
              <w:rPr>
                <w:smallCaps/>
              </w:rPr>
              <w:t>(PSD-FL-304)</w:t>
            </w:r>
          </w:p>
          <w:p>
            <w:pPr>
              <w:pStyle w:val="Normal"/>
              <w:rPr>
                <w:smallCaps/>
              </w:rPr>
            </w:pPr>
            <w:r>
              <w:rPr>
                <w:smallCaps/>
              </w:rPr>
            </w:r>
          </w:p>
        </w:tc>
      </w:tr>
    </w:tbl>
    <w:p>
      <w:pPr>
        <w:pStyle w:val="Normal"/>
        <w:rPr/>
      </w:pPr>
      <w:r>
        <w:rPr/>
      </w:r>
    </w:p>
    <w:p>
      <w:pPr>
        <w:pStyle w:val="Normal"/>
        <w:rPr/>
      </w:pPr>
      <w:r>
        <w:rPr/>
      </w:r>
    </w:p>
    <w:p>
      <w:pPr>
        <w:pStyle w:val="Normal"/>
        <w:spacing w:lineRule="auto" w:line="360"/>
        <w:jc w:val="center"/>
        <w:rPr>
          <w:rFonts w:ascii="CG Times Bold;Times New Roman" w:hAnsi="CG Times Bold;Times New Roman" w:cs="CG Times Bold;Times New Roman"/>
          <w:b/>
          <w:u w:val="single"/>
        </w:rPr>
      </w:pPr>
      <w:r>
        <w:rPr>
          <w:rFonts w:cs="CG Times Bold;Times New Roman" w:ascii="CG Times Bold;Times New Roman" w:hAnsi="CG Times Bold;Times New Roman"/>
          <w:b/>
          <w:u w:val="single"/>
        </w:rPr>
        <w:t>POMPANO BEACH ENERGY CENTER’S MOTION TO DISMISS</w:t>
      </w:r>
    </w:p>
    <w:p>
      <w:pPr>
        <w:pStyle w:val="Normal"/>
        <w:spacing w:lineRule="auto" w:line="360"/>
        <w:jc w:val="center"/>
        <w:rPr>
          <w:rFonts w:ascii="CG Times Bold;Times New Roman" w:hAnsi="CG Times Bold;Times New Roman" w:cs="CG Times Bold;Times New Roman"/>
          <w:b/>
          <w:u w:val="single"/>
        </w:rPr>
      </w:pPr>
      <w:r>
        <w:rPr>
          <w:rFonts w:cs="CG Times Bold;Times New Roman" w:ascii="CG Times Bold;Times New Roman" w:hAnsi="CG Times Bold;Times New Roman"/>
          <w:b/>
          <w:u w:val="single"/>
        </w:rPr>
        <w:t>CITY OF COCONUT CREEK’S</w:t>
      </w:r>
    </w:p>
    <w:p>
      <w:pPr>
        <w:pStyle w:val="Normal"/>
        <w:spacing w:lineRule="auto" w:line="360"/>
        <w:jc w:val="center"/>
        <w:rPr>
          <w:rFonts w:ascii="CG Times Bold;Times New Roman" w:hAnsi="CG Times Bold;Times New Roman" w:cs="CG Times Bold;Times New Roman"/>
          <w:b/>
        </w:rPr>
      </w:pPr>
      <w:r>
        <w:rPr>
          <w:rFonts w:cs="CG Times Bold;Times New Roman" w:ascii="CG Times Bold;Times New Roman" w:hAnsi="CG Times Bold;Times New Roman"/>
          <w:b/>
          <w:u w:val="single"/>
        </w:rPr>
        <w:t>AMENDED PETITION FOR FORMAL ADMINISTRATIVE HEARING</w:t>
      </w:r>
    </w:p>
    <w:p>
      <w:pPr>
        <w:pStyle w:val="Double"/>
        <w:jc w:val="both"/>
        <w:rPr/>
      </w:pPr>
      <w:r>
        <w:rPr/>
        <w:tab/>
        <w:t>Respondent, Pompano Beach Energy Center, L.L.C., hereby files its motion to dismiss the amended petition for formal administrative hearing submitted by the City of Coconut Creek (Coconut Creek) in this cause.  Dismissal of the amended petition is necessary because the procedural deficiencies of Coconut Creek’s initial petition have not been cured, and because Coconut Creek does not possess the requisite standing necessary to initiate a formal administrative hearing.</w:t>
      </w:r>
    </w:p>
    <w:p>
      <w:pPr>
        <w:pStyle w:val="Double"/>
        <w:jc w:val="center"/>
        <w:rPr>
          <w:rFonts w:ascii="CG Times Bold;Times New Roman" w:hAnsi="CG Times Bold;Times New Roman" w:cs="CG Times Bold;Times New Roman"/>
          <w:b/>
          <w:bCs/>
          <w:smallCaps/>
        </w:rPr>
      </w:pPr>
      <w:r>
        <w:rPr>
          <w:rFonts w:cs="CG Times Bold;Times New Roman" w:ascii="CG Times Bold;Times New Roman" w:hAnsi="CG Times Bold;Times New Roman"/>
          <w:b/>
          <w:bCs/>
          <w:smallCaps/>
        </w:rPr>
        <w:t>Pertinent Procedural Background</w:t>
      </w:r>
    </w:p>
    <w:p>
      <w:pPr>
        <w:pStyle w:val="Double"/>
        <w:jc w:val="both"/>
        <w:rPr/>
      </w:pPr>
      <w:r>
        <w:rPr/>
        <w:tab/>
        <w:t>The State of Florida Department of Environmental Protection (the Department) issued a Notice of Intent to Issue Air Construction Permit to Pompano Beach Energy Center, and Coconut Creek filed a petition for formal administrative hearing on April 19, 2001.  On May 9, Pompano Beach Energy Center filed a motion to dismiss Coconut Creek’s petition.  The Department dismissed Coconut Creek’s petition on May 21 with an order stating that Coconut Creek failed to (1) provide a concise statement of the ultimate facts alleged, including the specific facts Coconut Creek contends warrant reversal or modification of the department’s intended permit, and, (2) failed to identify the specific rules or statutes that Coconut Creek contends require reversal or modification of the proposed permit.  The Department’s order permitted Coconut Creek leave to amend, and on June 5, Coconut Creek filed an amended petition.</w:t>
      </w:r>
    </w:p>
    <w:p>
      <w:pPr>
        <w:pStyle w:val="Double"/>
        <w:jc w:val="center"/>
        <w:rPr>
          <w:rFonts w:ascii="CG Times Bold;Times New Roman" w:hAnsi="CG Times Bold;Times New Roman" w:cs="CG Times Bold;Times New Roman"/>
          <w:b/>
          <w:bCs/>
          <w:smallCaps/>
        </w:rPr>
      </w:pPr>
      <w:r>
        <w:rPr>
          <w:rFonts w:cs="CG Times Bold;Times New Roman" w:ascii="CG Times Bold;Times New Roman" w:hAnsi="CG Times Bold;Times New Roman"/>
          <w:b/>
          <w:bCs/>
          <w:smallCaps/>
        </w:rPr>
        <w:t>Argument</w:t>
      </w:r>
    </w:p>
    <w:p>
      <w:pPr>
        <w:pStyle w:val="Double"/>
        <w:jc w:val="both"/>
        <w:rPr/>
      </w:pPr>
      <w:r>
        <w:rPr/>
        <w:tab/>
        <w:t>Coconut Creek’s amended petition should be dismissed for three main reasons.  First, it does not cure the procedural defects of the first petition.  Second, the amended petition does not comply with the remaining statutory and rule-imposed requirements, and third, Coconut Creek does not possess standing to initiate a formal administrative proceeding under the controlling law.</w:t>
      </w:r>
    </w:p>
    <w:p>
      <w:pPr>
        <w:pStyle w:val="Heading1"/>
        <w:spacing w:before="240" w:after="120"/>
        <w:rPr/>
      </w:pPr>
      <w:r>
        <w:rPr/>
        <w:t>Procedural Deficiencies.</w:t>
      </w:r>
    </w:p>
    <w:p>
      <w:pPr>
        <w:pStyle w:val="Double"/>
        <w:jc w:val="both"/>
        <w:rPr/>
      </w:pPr>
      <w:r>
        <w:rPr/>
        <w:tab/>
        <w:t>As set forth in the Department</w:t>
      </w:r>
      <w:r>
        <w:rPr>
          <w:rFonts w:cs="Times New Roman" w:ascii="Times New Roman" w:hAnsi="Times New Roman"/>
        </w:rPr>
        <w:t>’</w:t>
      </w:r>
      <w:r>
        <w:rPr/>
        <w:t xml:space="preserve">s Notice of Intent and its recent order dismissing Coconut Creek’s petition, the governing statute and applicable rules required Coconut Creek to include several specific recitations within its petition for formal administrative hearing.  </w:t>
      </w:r>
      <w:r>
        <w:rPr>
          <w:i/>
          <w:iCs/>
        </w:rPr>
        <w:t>See</w:t>
      </w:r>
      <w:r>
        <w:rPr/>
        <w:t xml:space="preserve"> § 120.54(4)(b)4, Fla. Stat. (2000).  The uniform rules governing the submission of petitions to the Department require that petitions “shall” contain </w:t>
      </w:r>
      <w:r>
        <w:rPr>
          <w:i/>
          <w:iCs/>
        </w:rPr>
        <w:t>all</w:t>
      </w:r>
      <w:r>
        <w:rPr/>
        <w:t xml:space="preserve"> the information listed in Rule 28-106.201(2)(a)-(g) of the Florida Administrative Code.  Pertinent to Coconut Creek’s amended petition, those requirements include:</w:t>
      </w:r>
    </w:p>
    <w:p>
      <w:pPr>
        <w:pStyle w:val="QuoteIndent"/>
        <w:jc w:val="both"/>
        <w:rPr/>
      </w:pPr>
      <w:r>
        <w:rPr/>
        <w:t>(b) [</w:t>
      </w:r>
      <w:r>
        <w:rPr>
          <w:i/>
          <w:iCs/>
        </w:rPr>
        <w:t>A]n explanation of how the petitioner’s substantial interests will be affected by the agency determination</w:t>
      </w:r>
      <w:r>
        <w:rPr/>
        <w:t>;</w:t>
      </w:r>
    </w:p>
    <w:p>
      <w:pPr>
        <w:pStyle w:val="Double"/>
        <w:jc w:val="center"/>
        <w:rPr/>
      </w:pPr>
      <w:r>
        <w:rPr/>
        <w:t>*  *  *  *</w:t>
      </w:r>
    </w:p>
    <w:p>
      <w:pPr>
        <w:pStyle w:val="QuoteIndent"/>
        <w:jc w:val="both"/>
        <w:rPr/>
      </w:pPr>
      <w:r>
        <w:rPr/>
        <w:t xml:space="preserve">(d) A statement of all </w:t>
      </w:r>
      <w:r>
        <w:rPr>
          <w:i/>
          <w:iCs/>
        </w:rPr>
        <w:t>disputed</w:t>
      </w:r>
      <w:r>
        <w:rPr/>
        <w:t xml:space="preserve"> issues of material fact.  If there are none, the petition must so indicate;</w:t>
      </w:r>
    </w:p>
    <w:p>
      <w:pPr>
        <w:pStyle w:val="QuoteIndent"/>
        <w:jc w:val="both"/>
        <w:rPr/>
      </w:pPr>
      <w:r>
        <w:rPr/>
        <w:t xml:space="preserve">(e) A concise statement of the ultimate facts alleged, </w:t>
      </w:r>
      <w:r>
        <w:rPr>
          <w:i/>
          <w:iCs/>
        </w:rPr>
        <w:t xml:space="preserve">including the specific facts the petitioner contends warrant reversal or modification </w:t>
      </w:r>
      <w:r>
        <w:rPr/>
        <w:t>of the agency’s proposed action;</w:t>
      </w:r>
    </w:p>
    <w:p>
      <w:pPr>
        <w:pStyle w:val="QuoteIndent"/>
        <w:rPr/>
      </w:pPr>
      <w:r>
        <w:rPr/>
        <w:t xml:space="preserve">(f) A statement of the </w:t>
      </w:r>
      <w:r>
        <w:rPr>
          <w:i/>
          <w:iCs/>
        </w:rPr>
        <w:t>specific rules or statutes</w:t>
      </w:r>
      <w:r>
        <w:rPr/>
        <w:t xml:space="preserve"> the petitioner contends </w:t>
      </w:r>
      <w:r>
        <w:rPr>
          <w:i/>
          <w:iCs/>
        </w:rPr>
        <w:t xml:space="preserve">require reversal or modification </w:t>
      </w:r>
      <w:r>
        <w:rPr/>
        <w:t>of the agency’s proposed action . . .</w:t>
      </w:r>
    </w:p>
    <w:p>
      <w:pPr>
        <w:pStyle w:val="Double"/>
        <w:jc w:val="both"/>
        <w:rPr/>
      </w:pPr>
      <w:r>
        <w:rPr>
          <w:i/>
          <w:iCs/>
        </w:rPr>
        <w:t xml:space="preserve">Id. </w:t>
      </w:r>
      <w:r>
        <w:rPr/>
        <w:t>at R. 28-106.201(2)(b)-(f) (emphasis added).  The Department recognized in its order dismissing Coconut Creek’s petition that Coconut Creek failed to satisfy the requirements of subsections (e) regarding the identification of specific facts that warrant reversal, and (f) regarding the identification of rules and statutes that warrant reversal.  Those mandatory requirements remain unsatisfied by the amended petition.</w:t>
      </w:r>
    </w:p>
    <w:p>
      <w:pPr>
        <w:pStyle w:val="Heading2"/>
        <w:spacing w:before="240" w:after="120"/>
        <w:ind w:hanging="0" w:start="0"/>
        <w:rPr/>
      </w:pPr>
      <w:r>
        <w:rPr/>
        <w:t>The Amended Petition Fails to Identify Any Specific Facts Warranting Reversal.</w:t>
      </w:r>
    </w:p>
    <w:p>
      <w:pPr>
        <w:pStyle w:val="Double"/>
        <w:jc w:val="both"/>
        <w:rPr/>
      </w:pPr>
      <w:r>
        <w:rPr/>
        <w:tab/>
        <w:t>The amended petition fails entirely to enunciate any disputed facts or any “specific facts” that warrant a reversal or modification of the proposed issuance.  In fact, Coconut Creek’s recitation of “background” and “disputed” facts in its amended petition (at paragraphs 10-21 on pages 3-6 of the amended petition) are precisely the same as those featured in its original petition (at paragraphs 10-21 on pages 3-6 of the original petition).  Since these facts have already been determined to be insufficient by the Department to satisfy the prerequisite rule requirements, the repetition of precisely those same facts does nothing to cure the deficiency.</w:t>
      </w:r>
    </w:p>
    <w:p>
      <w:pPr>
        <w:pStyle w:val="Double"/>
        <w:jc w:val="both"/>
        <w:rPr/>
      </w:pPr>
      <w:r>
        <w:rPr/>
        <w:tab/>
        <w:t>After repeating the same background and disputed facts from the original petition, the amended petition recites that the Pompano Beach Energy Center is required to use the best available control technology in limiting the emissions of the facility.  (Coconut Creek’s Amended Petition at 6).  This is not a “disputed fact” as the Draft Permit at Appendix BD features an extensive and detailed best available control technology (BACT) determination.  The definition of BACT found within Rule 62-210.200(38) lists the same BACT factors set forth in Rule 62-212.400(6), and these two rules defining the BACT factors do not, of course, constitute “facts” requiring reversal, nor are they rules that could possibly require reversal, as is explained below.</w:t>
      </w:r>
    </w:p>
    <w:p>
      <w:pPr>
        <w:pStyle w:val="Heading2"/>
        <w:spacing w:before="240" w:after="120"/>
        <w:ind w:hanging="0" w:start="0"/>
        <w:rPr/>
      </w:pPr>
      <w:r>
        <w:rPr/>
        <w:t>The Amended Petition Fails to Identify Any Rule or Statute Warranting Reversal.</w:t>
      </w:r>
    </w:p>
    <w:p>
      <w:pPr>
        <w:pStyle w:val="Double"/>
        <w:jc w:val="both"/>
        <w:rPr/>
      </w:pPr>
      <w:r>
        <w:rPr/>
        <w:tab/>
        <w:t>In an attempt to identify a rule or statute that could possibly require reversal, as it is required to do under Rule 28-106.201(2)(f), Coconut Creek points to Rules 62-210.300(38) and 62-212.400(6) — which rules set out the BACT determination requirements — in support of the allegation that individual BACT determinations are required for minor emissions sources at the proposed facility.  (Coconut Creek’s Amended Petition at 7).  The BACT determination rules say nothing about minor sources, however, and Coconut Creek’s repetition of the BACT rules does not work to cure the procedural deficiencies of its first petition.</w:t>
      </w:r>
    </w:p>
    <w:p>
      <w:pPr>
        <w:pStyle w:val="Double"/>
        <w:jc w:val="both"/>
        <w:rPr/>
      </w:pPr>
      <w:r>
        <w:rPr/>
        <w:tab/>
        <w:t>Coconut Creek contends that it is a “disputed issue of fact and law” that a lower NO</w:t>
      </w:r>
      <w:r>
        <w:rPr>
          <w:vertAlign w:val="subscript"/>
        </w:rPr>
        <w:t xml:space="preserve">x  </w:t>
      </w:r>
      <w:r>
        <w:rPr/>
        <w:t>limit be established for the turbines at the facility because “other states” (these “other states” are nowhere named) have allegedly permitted a large number of peaking power plants with lower NO</w:t>
      </w:r>
      <w:r>
        <w:rPr>
          <w:vertAlign w:val="subscript"/>
        </w:rPr>
        <w:t xml:space="preserve">x </w:t>
      </w:r>
      <w:r>
        <w:rPr/>
        <w:t>limits.  (Coconut Creek’s Amended Petition at 7-8).  In support of this assertion, Coconut Creek relies upon Rule 62-212.400(2)(f).  Coconut Creek’s naming of Rule 62-212.400(2)(f) does not cure the pleading deficiencies of the first petition because the rule simply does not require the imposition of a lower emission level just because a lower level was imposed in another state.  In fact, the rule does not even mention the NO</w:t>
      </w:r>
      <w:r>
        <w:rPr>
          <w:vertAlign w:val="subscript"/>
        </w:rPr>
        <w:t xml:space="preserve">x </w:t>
      </w:r>
      <w:r>
        <w:rPr/>
        <w:t>limits imposed by other states, but instead only defines those pollutants subject to PSD preconstruction review, as the title of the rule states.</w:t>
      </w:r>
    </w:p>
    <w:p>
      <w:pPr>
        <w:pStyle w:val="Double"/>
        <w:jc w:val="both"/>
        <w:rPr/>
      </w:pPr>
      <w:r>
        <w:rPr/>
        <w:tab/>
        <w:t xml:space="preserve">The BACT rules actually require that the Department </w:t>
      </w:r>
      <w:r>
        <w:rPr>
          <w:i/>
          <w:iCs/>
        </w:rPr>
        <w:t>give consideration</w:t>
      </w:r>
      <w:r>
        <w:rPr/>
        <w:t xml:space="preserve"> to (1) any determination of BACT by the Environmental Protection Agency, (2) all scientific, engineering and technical material and other information available to the Department, (3) the “emission limiting standards or BACT determinations of any other state,” and (4) the social and economic impact of the application of such technology.  R. 62-212.400(6)(a)1-4.  The BACT Determination located in Appendix BD of the Draft Permit shows that the Department did in fact consider the technology and emissions standards in place throughout Florida and the rest of the United States.  (</w:t>
      </w:r>
      <w:r>
        <w:rPr>
          <w:i/>
          <w:iCs/>
        </w:rPr>
        <w:t xml:space="preserve">See, e.g., </w:t>
      </w:r>
      <w:r>
        <w:rPr/>
        <w:t>Draft Permit Appendix BD at BD-3 and 4, charting the emissions limits and technology in use at sites throughout Florida as well as in Georgia, Texas, North Carolina, California, Puerto Rico and Wisconsin; Appendix BD at BD-8, examining national implementation of Selective Catalytic Combustion (SCR) technology as an add-on NO</w:t>
      </w:r>
      <w:r>
        <w:rPr>
          <w:vertAlign w:val="subscript"/>
        </w:rPr>
        <w:t xml:space="preserve">x </w:t>
      </w:r>
      <w:r>
        <w:rPr/>
        <w:t>control technology; Appendix BD at BD-13, discussing a Hot SCR system in use in Sacramento, California; and Appendix BD at BD-14 discussing the NO</w:t>
      </w:r>
      <w:r>
        <w:rPr>
          <w:vertAlign w:val="subscript"/>
        </w:rPr>
        <w:t xml:space="preserve">x </w:t>
      </w:r>
      <w:r>
        <w:rPr/>
        <w:t>emission limit imposed at numerous site locations).</w:t>
      </w:r>
    </w:p>
    <w:p>
      <w:pPr>
        <w:pStyle w:val="Double"/>
        <w:jc w:val="both"/>
        <w:rPr/>
      </w:pPr>
      <w:r>
        <w:rPr/>
        <w:tab/>
        <w:t xml:space="preserve">Coconut Creek’s mere repetition of Rules 62-210.300(38) and 62-212.400(6) does not constitute the identification of any rule that could possibly require the reversal of the Department’s decision to issue the permit because the rules require only that the Department give </w:t>
      </w:r>
      <w:r>
        <w:rPr>
          <w:i/>
          <w:iCs/>
        </w:rPr>
        <w:t xml:space="preserve">consideration </w:t>
      </w:r>
      <w:r>
        <w:rPr/>
        <w:t>to the limitations and BACT determinations of other states.  The extensive BACT Determination completed in the permitting process irrefutably shows that the requisite “consideration” was given.</w:t>
      </w:r>
    </w:p>
    <w:p>
      <w:pPr>
        <w:pStyle w:val="Double"/>
        <w:jc w:val="both"/>
        <w:rPr/>
      </w:pPr>
      <w:r>
        <w:rPr/>
        <w:tab/>
        <w:t xml:space="preserve">Coconut Creek next names Rule 62-210.200(112), (which defines “facility” as “[a]ll of the emissions units which are located on one or more contiguous or adjacent properties, which are under the control of the same person,”) and claims that this rule mandates that minor sources at a facility are each subject to </w:t>
      </w:r>
      <w:r>
        <w:rPr>
          <w:i/>
          <w:iCs/>
        </w:rPr>
        <w:t xml:space="preserve">individual </w:t>
      </w:r>
      <w:r>
        <w:rPr/>
        <w:t>BACT determinations.  (Coconut Creek’s Amended Petition at 9).  The definition of “facility” does not, as indicated by Coconut Creek in its amended petition, require individual BACT determinations for every minor source associated with a given facility.</w:t>
      </w:r>
    </w:p>
    <w:p>
      <w:pPr>
        <w:pStyle w:val="Double"/>
        <w:jc w:val="both"/>
        <w:rPr/>
      </w:pPr>
      <w:r>
        <w:rPr/>
        <w:tab/>
        <w:t xml:space="preserve">Because the term “facility” includes within its meaning all of the emission sources on one property, the BACT determination requirement applies to the sum of </w:t>
      </w:r>
      <w:r>
        <w:rPr>
          <w:i/>
          <w:iCs/>
        </w:rPr>
        <w:t>all</w:t>
      </w:r>
      <w:r>
        <w:rPr/>
        <w:t xml:space="preserve"> of the sources of a “facility.”  </w:t>
      </w:r>
      <w:r>
        <w:rPr>
          <w:i/>
          <w:iCs/>
        </w:rPr>
        <w:t>See</w:t>
      </w:r>
      <w:r>
        <w:rPr/>
        <w:t xml:space="preserve"> R. 62-212.400(6)(a).  Rule 62-212.400(2)(f), titled “Pollutants Subject to PSD Pre-Construction Review,” provides that a proposed new facility is subject to pre-construction review requirements for “all pollutants regulated under the Act for which the </w:t>
      </w:r>
      <w:r>
        <w:rPr>
          <w:i/>
          <w:iCs/>
        </w:rPr>
        <w:t>sum</w:t>
      </w:r>
      <w:r>
        <w:rPr/>
        <w:t xml:space="preserve"> of the potential emissions and the quantifiable fugitive emissions of the facility or modification would be equal to or greater than the significant emission rates” listed in the Significant Emission Rates Table.  R. 62-212.400(2)(f)1 (emphasis added).  Contrary to Coconut Creek’s inferential leap based upon the definition of “facility,” the regulatory scheme actually requires that the sum of all minor emissions at a given facility are subject to a single BACT determination.  In fact, the Public Notice of Intent to Issue Air Construction Permit makes perfectly clear that the maximum emissions from the facility “include the minor emissions from the fuel oil storage tanks, the gas heater and the cooling towers.”  (Public Notice of Intent to Issue Air Construction Permit at 1).</w:t>
      </w:r>
    </w:p>
    <w:p>
      <w:pPr>
        <w:pStyle w:val="Double"/>
        <w:jc w:val="both"/>
        <w:rPr/>
      </w:pPr>
      <w:r>
        <w:rPr/>
        <w:tab/>
        <w:t xml:space="preserve">Finally, Coconut Creek advances in its amended petition that the draft permit fails to comply with the “requirements” of Broward County pursuant to Rule 62-210.300(4)(d)15.  (Amended Petition at 13).  Rule 62-210.300(4)(d)15 cannot possibly serve as a rule that could require reversal of the Department’s decision to issue the air construction permit for three reasons.  First, the rule does not apply to air construction permits.  As the first line of the Notice of Intent clearly states, the permit at issue in these proceedings is an air construction permit, subject to the provisions of Rule 62-210.300(1) titled “Air Construction Permits,” and </w:t>
      </w:r>
      <w:r>
        <w:rPr>
          <w:i/>
          <w:iCs/>
        </w:rPr>
        <w:t>not</w:t>
      </w:r>
      <w:r>
        <w:rPr/>
        <w:t xml:space="preserve"> Rule 62-210.300(4) titled “Air General Permits.”  Second, the Department possesses the “exclusive authority” to require and issue the instant air construction permit.  § 403.182(2), Fla. Stat. (2000).  Third, (without conceding that Broward County possesses any autonomous permitting authority), the Department’s permitting process included input from Broward County’s own Department of Planning and Environmental Protection (DPEP), which entity indicated to the Department that the permit application was complete and satisfactory for the purposes of the Broward County ordinances.  (</w:t>
      </w:r>
      <w:r>
        <w:rPr>
          <w:i/>
          <w:iCs/>
        </w:rPr>
        <w:t xml:space="preserve">See </w:t>
      </w:r>
      <w:r>
        <w:rPr/>
        <w:t>letter of November 21, 2000 from DPEP to the Department, attached hereto as Appendix 1; and letter of January 12, 2001 from the Department to Pompano Beach Energy Center, attached hereto as Appendix 2).</w:t>
      </w:r>
    </w:p>
    <w:p>
      <w:pPr>
        <w:pStyle w:val="Double"/>
        <w:jc w:val="both"/>
        <w:rPr/>
      </w:pPr>
      <w:r>
        <w:rPr/>
        <w:tab/>
        <w:t xml:space="preserve">Coconut Creek failed to identify a single rule or statute in its first petition that could possibly require reversal, as is required under Rule 28-106.201(2)(b)-(f) governing petitions for formal administrative hearings.  While Coconut Creek’s amended petition </w:t>
      </w:r>
      <w:r>
        <w:rPr>
          <w:i/>
          <w:iCs/>
        </w:rPr>
        <w:t>names</w:t>
      </w:r>
      <w:r>
        <w:rPr/>
        <w:t xml:space="preserve"> each of the various rules discussed, none of the rules require what Coconut Creek urges, and none could possibly require reversal of the Department’s decision to issue the proposed permit.  Coconut Creek’s failure to identify any facts or rules that could possibly require reversal consequently requires the dismissal of its amended petition for the very same reasons its first petition was dismissed.</w:t>
      </w:r>
    </w:p>
    <w:p>
      <w:pPr>
        <w:pStyle w:val="Heading2"/>
        <w:spacing w:before="240" w:after="120"/>
        <w:ind w:hanging="0" w:start="0"/>
        <w:rPr/>
      </w:pPr>
      <w:r>
        <w:rPr/>
        <w:t>The Required Explanation of Substantial Interests is Missing.</w:t>
      </w:r>
    </w:p>
    <w:p>
      <w:pPr>
        <w:pStyle w:val="Double"/>
        <w:jc w:val="both"/>
        <w:rPr/>
      </w:pPr>
      <w:r>
        <w:rPr/>
        <w:tab/>
        <w:t>In addition to the two deficiencies identified by the Department regarding the prerequisite identification of material facts and rules, the petition, as amended, remains noncompliant with the statutory and rule requirements because Coconut Creek’s amended petition neglects to include “an explanation of how the petitioner’s substantial interests are or will be affected by the action or proposed action.”  §120.54(5)(b)4.c., Fla. Stat. (2000).  The section titled “Substantial Interest” contained within Coconut Creek’s amended petition states, in its entirety:</w:t>
      </w:r>
    </w:p>
    <w:p>
      <w:pPr>
        <w:pStyle w:val="QuoteIndent"/>
        <w:jc w:val="both"/>
        <w:rPr/>
      </w:pPr>
      <w:r>
        <w:rPr/>
        <w:t>CITY is a Florida municipality with over 40,000 residents, located within the immediate adjacent area which will be affected by the building of a power plant.  As a result, CITY has a substantial interest in this proceeding.</w:t>
      </w:r>
    </w:p>
    <w:p>
      <w:pPr>
        <w:pStyle w:val="Double"/>
        <w:jc w:val="both"/>
        <w:rPr/>
      </w:pPr>
      <w:r>
        <w:rPr/>
        <w:t>(Coconut Creek’s Amended Petition at 2).  This “substantial interest” recitation is no more than a conclusion and falls far short of the required “explanation of how the petitioner’s substantial interests will be affected by the agency determination.”  R. 28-106.201(2)(b).  Coconut Creek claims only that it is in the “immediate adjacent area” of the proposed facility.  That bald assertion, assuming for the sake of argument that it is true, does nothing to explain “how” Coconut Creek will be affected by the issuance of the subject permit.</w:t>
      </w:r>
    </w:p>
    <w:p>
      <w:pPr>
        <w:pStyle w:val="Double"/>
        <w:jc w:val="both"/>
        <w:rPr/>
      </w:pPr>
      <w:r>
        <w:rPr/>
        <w:tab/>
        <w:t xml:space="preserve">The failure to include an adequate explanation of how the issuance of a permit will substantially affect a municipality is grounds for dismissal of a petition for formal administrative hearing because such a petition lacks what is required as a matter of pleading.  </w:t>
      </w:r>
      <w:r>
        <w:rPr>
          <w:i/>
          <w:iCs/>
        </w:rPr>
        <w:t>See, e.g., Town of Jupiter v. Village of Tequesta and Department of Environmental Protection</w:t>
      </w:r>
      <w:r>
        <w:rPr/>
        <w:t>, 19 FALR 856, 857 (Fla. Dept. of Env. Prot. 1996) (dismissing petition for formal administrative hearing because the petitioner failed to include an explanation of how its substantial environmental interests are affected, and holding that the petition “does not contain all of this required information and therefore does not contain sufficient reasons for holding a formal administrative hearing.”).</w:t>
      </w:r>
    </w:p>
    <w:p>
      <w:pPr>
        <w:pStyle w:val="Double"/>
        <w:jc w:val="both"/>
        <w:rPr/>
      </w:pPr>
      <w:r>
        <w:rPr/>
        <w:tab/>
        <w:t xml:space="preserve">Far from satisfying the specific and mandatory statute-based requirements of the rule, Coconut Creek’s “substantial interest” claim is no more than a conclusory </w:t>
      </w:r>
      <w:r>
        <w:rPr>
          <w:i/>
          <w:iCs/>
        </w:rPr>
        <w:t>parroting</w:t>
      </w:r>
      <w:r>
        <w:rPr/>
        <w:t xml:space="preserve"> of the requirements.  Coconut Creek’s amended petition should consequently be dismissed as a matter of deficiency of pleading and procedure.  The amended petition’s fatal pleading defects give rise in turn to its related substantive deficiency of lack of standing.</w:t>
      </w:r>
    </w:p>
    <w:p>
      <w:pPr>
        <w:pStyle w:val="Heading1"/>
        <w:spacing w:before="240" w:after="120"/>
        <w:rPr/>
      </w:pPr>
      <w:r>
        <w:rPr/>
        <w:t>Coconut Creek Lacks Standing.</w:t>
      </w:r>
    </w:p>
    <w:p>
      <w:pPr>
        <w:pStyle w:val="Double"/>
        <w:jc w:val="both"/>
        <w:rPr/>
      </w:pPr>
      <w:r>
        <w:rPr/>
        <w:tab/>
        <w:t xml:space="preserve">The purpose behind the standing requirement “is to ensure that a party has a sufficient interest in the outcome of the litigation which warrants the court’s entertaining it and to assure that a party has a personal stake in the outcome so he will adequately represent the interest he asserts.”  </w:t>
      </w:r>
      <w:r>
        <w:rPr>
          <w:i/>
          <w:iCs/>
        </w:rPr>
        <w:t xml:space="preserve">Gregory v. Indian River County and Department of Environmental Regulation, </w:t>
      </w:r>
      <w:r>
        <w:rPr/>
        <w:t>610 So. 2d 547, 554 (Fla. 1st DCA 1992).  The import of this basic jurisdictional requirement has driven the common-law evolution of a very specific test, which test can be satisfied only by specific allegations of individualized harm contained within the text of a given petition for formal administrative hearing.</w:t>
      </w:r>
    </w:p>
    <w:p>
      <w:pPr>
        <w:pStyle w:val="Double"/>
        <w:rPr/>
      </w:pPr>
      <w:r>
        <w:rPr/>
        <w:tab/>
      </w:r>
      <w:r>
        <w:rPr>
          <w:b/>
          <w:bCs/>
        </w:rPr>
        <w:t>A.</w:t>
        <w:tab/>
        <w:t>The Controlling Law on Standing.</w:t>
      </w:r>
    </w:p>
    <w:p>
      <w:pPr>
        <w:pStyle w:val="Double"/>
        <w:jc w:val="both"/>
        <w:rPr/>
      </w:pPr>
      <w:r>
        <w:rPr/>
        <w:tab/>
        <w:t xml:space="preserve">The definitive case on the standing requirement for obtaining a formal administrative hearing is that of the Second District Court of Appeal in </w:t>
      </w:r>
      <w:r>
        <w:rPr>
          <w:i/>
          <w:iCs/>
        </w:rPr>
        <w:t>Agrico Chemical Company v. Department of Environmental Regulation</w:t>
      </w:r>
      <w:r>
        <w:rPr/>
        <w:t xml:space="preserve">, 406 So. 2d 478 (Fla. 2d DCA 1981).  The </w:t>
      </w:r>
      <w:r>
        <w:rPr>
          <w:i/>
          <w:iCs/>
        </w:rPr>
        <w:t xml:space="preserve">Agrico Chemical  </w:t>
      </w:r>
      <w:r>
        <w:rPr/>
        <w:t>court enunciated the following test:</w:t>
      </w:r>
    </w:p>
    <w:p>
      <w:pPr>
        <w:pStyle w:val="QuoteIndent"/>
        <w:jc w:val="both"/>
        <w:rPr/>
      </w:pPr>
      <w:r>
        <w:rPr/>
        <w:t>We believe that before one can be considered to have a substantial interest in the outcome of the proceeding he must show (1) that he will suffer injury in fact which is of sufficient immediacy to entitle him to a section 120.57 hearing, and (2) that his substantial injury is of a type or nature which the proceeding is designed to protect.  The first aspect of the test deals with the degree of injury.  The second deals with the nature of the injury.</w:t>
      </w:r>
    </w:p>
    <w:p>
      <w:pPr>
        <w:pStyle w:val="Double"/>
        <w:jc w:val="both"/>
        <w:rPr/>
      </w:pPr>
      <w:r>
        <w:rPr>
          <w:i/>
          <w:iCs/>
        </w:rPr>
        <w:t xml:space="preserve">Agrico Chemical, </w:t>
      </w:r>
      <w:r>
        <w:rPr/>
        <w:t xml:space="preserve">406 So. 2d at 482.  The </w:t>
      </w:r>
      <w:r>
        <w:rPr>
          <w:i/>
          <w:iCs/>
        </w:rPr>
        <w:t xml:space="preserve">Agrico Chemical </w:t>
      </w:r>
      <w:r>
        <w:rPr/>
        <w:t xml:space="preserve"> court further explained that parties seeking a Section 120.57 formal administrative hearing must frame their petition “in terms which </w:t>
      </w:r>
      <w:r>
        <w:rPr>
          <w:i/>
          <w:iCs/>
        </w:rPr>
        <w:t>clearly</w:t>
      </w:r>
      <w:r>
        <w:rPr/>
        <w:t xml:space="preserve"> show </w:t>
      </w:r>
      <w:r>
        <w:rPr>
          <w:i/>
          <w:iCs/>
        </w:rPr>
        <w:t>injury in fact</w:t>
      </w:r>
      <w:r>
        <w:rPr/>
        <w:t xml:space="preserve">.”  </w:t>
      </w:r>
      <w:r>
        <w:rPr>
          <w:i/>
          <w:iCs/>
        </w:rPr>
        <w:t xml:space="preserve">Id. </w:t>
      </w:r>
      <w:r>
        <w:rPr/>
        <w:t xml:space="preserve">(emphasis added).  The </w:t>
      </w:r>
      <w:r>
        <w:rPr>
          <w:i/>
          <w:iCs/>
        </w:rPr>
        <w:t xml:space="preserve">Agrico Chemical </w:t>
      </w:r>
      <w:r>
        <w:rPr/>
        <w:t>standing test has been repeatedly recited and applied by the Department.  For instance, the Department last year ruled:</w:t>
      </w:r>
    </w:p>
    <w:p>
      <w:pPr>
        <w:pStyle w:val="QuoteIndent"/>
        <w:jc w:val="both"/>
        <w:rPr/>
      </w:pPr>
      <w:r>
        <w:rPr/>
        <w:t xml:space="preserve">Petitioner’s petition does not satisfy the standing requirements, that an applicant requesting a formal hearing concerning agency action must show (1) that he will suffer injury in fact which is of sufficient immediacy to entitle him to a hearing under Sections 120.569 and 120.57, Florida Statutes and (2) that his substantial injury is of a type or nature which the proceeding is designed to protect.  </w:t>
      </w:r>
      <w:r>
        <w:rPr>
          <w:i/>
          <w:iCs/>
        </w:rPr>
        <w:t xml:space="preserve">See Agrico Chemical Co. v. Department of Environmental Regulation, </w:t>
      </w:r>
      <w:r>
        <w:rPr/>
        <w:t>406 So. 2d 478, 482 (Fla. 2d DCA 1981).</w:t>
      </w:r>
    </w:p>
    <w:p>
      <w:pPr>
        <w:pStyle w:val="Double"/>
        <w:jc w:val="both"/>
        <w:rPr/>
      </w:pPr>
      <w:r>
        <w:rPr>
          <w:i/>
          <w:iCs/>
        </w:rPr>
        <w:t xml:space="preserve">Riverwoods Property Owner’s Association, Inc. v. Department of Environmental Regulation, </w:t>
      </w:r>
      <w:r>
        <w:rPr/>
        <w:t xml:space="preserve">1 ER FALR 91, 2000 Fla. ENV LEXIS 299 (Fla. Dept. Env. Prot. 2000).  As is explained </w:t>
      </w:r>
      <w:r>
        <w:rPr>
          <w:i/>
          <w:iCs/>
        </w:rPr>
        <w:t>infra</w:t>
      </w:r>
      <w:r>
        <w:rPr/>
        <w:t>, Coconut Creek’s amended petition never cobbles together one single allegation of “injury in fact” of any kind, much less one of “sufficient immediacy.”</w:t>
      </w:r>
    </w:p>
    <w:p>
      <w:pPr>
        <w:pStyle w:val="Double"/>
        <w:jc w:val="both"/>
        <w:rPr/>
      </w:pPr>
      <w:r>
        <w:rPr/>
        <w:tab/>
        <w:t>The veracity or accuracy of the allegations contained within Coconut Creek’s amended petition has nothing to do with whether its amended petition features the requisite allegations necessary to confer standing upon it, such that it is entitled to a formal administrative hearing.  The Department has so held:</w:t>
      </w:r>
    </w:p>
    <w:p>
      <w:pPr>
        <w:pStyle w:val="QuoteIndent"/>
        <w:jc w:val="both"/>
        <w:rPr/>
      </w:pPr>
      <w:r>
        <w:rPr/>
        <w:t>[T]he case law in Florida holds that standing to participate in an administrative proceeding in which the “substantial interest of a party are determined” is to be demonstrated in the allegations in the petition for administrative hearing.</w:t>
      </w:r>
    </w:p>
    <w:p>
      <w:pPr>
        <w:pStyle w:val="QuoteIndent"/>
        <w:jc w:val="both"/>
        <w:rPr/>
      </w:pPr>
      <w:r>
        <w:rPr>
          <w:i/>
          <w:iCs/>
        </w:rPr>
        <w:t xml:space="preserve">Agrico Chemical Company v. Department of Environmental Regulation, </w:t>
      </w:r>
      <w:r>
        <w:rPr/>
        <w:t>406 So. 2d 478 (Fla. 2d DCA 1981), is a landmark decision in this state on standing in administrative proceedings in which the “substantial interests of a party are determined.”  In its opinion in [</w:t>
      </w:r>
      <w:r>
        <w:rPr>
          <w:i/>
          <w:iCs/>
        </w:rPr>
        <w:t xml:space="preserve">Village Park Mobile Home Ass’n, Inc. v. Department of Business Regulation, </w:t>
      </w:r>
      <w:r>
        <w:rPr/>
        <w:t xml:space="preserve">506 So. 2d 426, 433 (Fla. 1st DCA 1987)], the court rendered a lengthy opinion discussing the holding in </w:t>
      </w:r>
      <w:r>
        <w:rPr>
          <w:i/>
          <w:iCs/>
        </w:rPr>
        <w:t>Agrico Chemical</w:t>
      </w:r>
      <w:r>
        <w:rPr/>
        <w:t xml:space="preserve">.  The court concluded in the </w:t>
      </w:r>
      <w:r>
        <w:rPr>
          <w:i/>
          <w:iCs/>
        </w:rPr>
        <w:t xml:space="preserve">Village Park </w:t>
      </w:r>
      <w:r>
        <w:rPr/>
        <w:t xml:space="preserve">opinion that a petitioner can satisfy the “injury-in-fact” requirement set forth in </w:t>
      </w:r>
      <w:r>
        <w:rPr>
          <w:i/>
          <w:iCs/>
        </w:rPr>
        <w:t xml:space="preserve">Agrico Chemical </w:t>
      </w:r>
      <w:r>
        <w:rPr/>
        <w:t xml:space="preserve">by “demonstrating in his petition either:  (1) that he has sustained actual injury in fact at the time of filing his petition; or (2) that he is immediately in danger of sustaining some direct injury as a result of the challenged agency’s action.”  </w:t>
      </w:r>
      <w:r>
        <w:rPr>
          <w:i/>
          <w:iCs/>
        </w:rPr>
        <w:t xml:space="preserve">Village Park, </w:t>
      </w:r>
      <w:r>
        <w:rPr/>
        <w:t>506 So. 2d at 433.</w:t>
      </w:r>
    </w:p>
    <w:p>
      <w:pPr>
        <w:pStyle w:val="QuoteIndent"/>
        <w:jc w:val="both"/>
        <w:rPr/>
      </w:pPr>
      <w:r>
        <w:rPr/>
        <w:t>Thus, it is the sufficiency of the allegations in the petition that determine “substantial interest” standing in administrative proceedings, not the ultimate sufficiency of the evidence presented at the formal hearing.</w:t>
      </w:r>
    </w:p>
    <w:p>
      <w:pPr>
        <w:pStyle w:val="Double"/>
        <w:jc w:val="both"/>
        <w:rPr/>
      </w:pPr>
      <w:r>
        <w:rPr>
          <w:i/>
          <w:iCs/>
        </w:rPr>
        <w:t>Florida Chapter of the Sierra Club and Save Our Suwannee, Inc. v. Suwannee American Cement Company, Inc., and Department of Environmental Protection</w:t>
      </w:r>
      <w:r>
        <w:rPr/>
        <w:t>, — ER FALR — , 2000 WL 1185499, *7 (Fla. Dept. Env. Prot. 2000).  The standing inquiry must consequently be based upon the allegations contained within a well-pled petition, and Coconut Creek’s mere suggestion of injury, which injury is left to be defined at some other time and place, cannot invest it with standing to initiate a formal administrative proceeding.</w:t>
      </w:r>
    </w:p>
    <w:p>
      <w:pPr>
        <w:pStyle w:val="Double"/>
        <w:spacing w:lineRule="exact" w:line="240" w:before="240" w:after="120"/>
        <w:ind w:hanging="1440" w:start="1440" w:end="0"/>
        <w:rPr/>
      </w:pPr>
      <w:r>
        <w:rPr/>
        <w:tab/>
      </w:r>
      <w:r>
        <w:rPr>
          <w:b/>
          <w:bCs/>
        </w:rPr>
        <w:t>B.</w:t>
        <w:tab/>
        <w:t xml:space="preserve">Coconut Creek’s Amended Petition Fails to Allege </w:t>
      </w:r>
      <w:r>
        <w:rPr>
          <w:b/>
          <w:bCs/>
          <w:i/>
          <w:iCs/>
        </w:rPr>
        <w:t xml:space="preserve">Any </w:t>
      </w:r>
      <w:r>
        <w:rPr>
          <w:b/>
          <w:bCs/>
        </w:rPr>
        <w:t>Specific Injury in Fact and its General Allegations of Harm are Insufficient.</w:t>
      </w:r>
    </w:p>
    <w:p>
      <w:pPr>
        <w:pStyle w:val="Double"/>
        <w:jc w:val="both"/>
        <w:rPr/>
      </w:pPr>
      <w:r>
        <w:rPr/>
        <w:tab/>
        <w:t xml:space="preserve">To have standing to obtain an administrative hearing, a person or entity must allege that its "substantial interests" will be affected by the proposed agency action, such that the person or entity will suffer injury in fact which is of sufficient immediacy to entitle them to an administrative hearing.  </w:t>
      </w:r>
      <w:r>
        <w:rPr>
          <w:i/>
          <w:iCs/>
        </w:rPr>
        <w:t>Town of Palm Beach v. State Dep't of Natural Resources</w:t>
      </w:r>
      <w:r>
        <w:rPr/>
        <w:t xml:space="preserve">, 577 So. 2d 1383 (Fla. 4th DCA 1991).  The injury in fact test been characterized by the Department as describing a party as being "immediately in danger of sustaining some direct injury as a result of the challenged agency's action."  </w:t>
      </w:r>
      <w:r>
        <w:rPr>
          <w:i/>
          <w:iCs/>
        </w:rPr>
        <w:t>Sierra Club and Save Our Suwanee v. Suwanee American Cement Company</w:t>
      </w:r>
      <w:r>
        <w:rPr/>
        <w:t xml:space="preserve">, </w:t>
      </w:r>
      <w:r>
        <w:rPr>
          <w:rFonts w:eastAsia="Symbol" w:cs="Symbol" w:ascii="Symbol" w:hAnsi="Symbol"/>
        </w:rPr>
        <w:sym w:font="Symbol" w:char="f0be"/>
      </w:r>
      <w:r>
        <w:rPr/>
        <w:t xml:space="preserve"> FALR </w:t>
      </w:r>
      <w:r>
        <w:rPr>
          <w:rFonts w:eastAsia="Symbol" w:cs="Symbol" w:ascii="Symbol" w:hAnsi="Symbol"/>
        </w:rPr>
        <w:sym w:font="Symbol" w:char="f0be"/>
      </w:r>
      <w:r>
        <w:rPr/>
        <w:t xml:space="preserve"> , 2000 WL 1185499 at *7.</w:t>
      </w:r>
    </w:p>
    <w:p>
      <w:pPr>
        <w:pStyle w:val="Double"/>
        <w:jc w:val="both"/>
        <w:rPr/>
      </w:pPr>
      <w:r>
        <w:rPr/>
        <w:tab/>
        <w:t xml:space="preserve">Coconut Creek’s amended petition never articulates a specific and direct injury and raises only Coconut Creek’s “concern” that startup and shutdown emissions could result in health impacts in “downwind areas of Coconut Creek.”  (Amended Petition at 11).  That type of broad identification of possible concern is insufficient and does not constitute an allegation of immediate danger of "direct injury."  A party with standing would have to make specific allegations that ambient air quality </w:t>
      </w:r>
      <w:r>
        <w:rPr>
          <w:i/>
          <w:iCs/>
        </w:rPr>
        <w:t xml:space="preserve">will </w:t>
      </w:r>
      <w:r>
        <w:rPr/>
        <w:t>be undermined and that it will</w:t>
      </w:r>
      <w:r>
        <w:rPr>
          <w:i/>
          <w:iCs/>
        </w:rPr>
        <w:t xml:space="preserve"> </w:t>
      </w:r>
      <w:r>
        <w:rPr/>
        <w:t xml:space="preserve">suffer a direct, immediate, and </w:t>
      </w:r>
      <w:r>
        <w:rPr>
          <w:i/>
          <w:iCs/>
        </w:rPr>
        <w:t>particularized</w:t>
      </w:r>
      <w:r>
        <w:rPr/>
        <w:t xml:space="preserve"> injury.</w:t>
      </w:r>
    </w:p>
    <w:p>
      <w:pPr>
        <w:pStyle w:val="Double"/>
        <w:jc w:val="both"/>
        <w:rPr/>
      </w:pPr>
      <w:r>
        <w:rPr/>
        <w:tab/>
        <w:t xml:space="preserve">To perfect standing, the alleged harm must threaten </w:t>
      </w:r>
      <w:r>
        <w:rPr>
          <w:i/>
          <w:iCs/>
        </w:rPr>
        <w:t>the petitioner’s</w:t>
      </w:r>
      <w:r>
        <w:rPr/>
        <w:t xml:space="preserve"> interest, not that of a general nature applicable to the community as a whole.  This requirement applies with equal force to a proceeding stemming from an intent to issue an air permit, as the Department has explained:</w:t>
      </w:r>
    </w:p>
    <w:p>
      <w:pPr>
        <w:pStyle w:val="QuoteIndent"/>
        <w:jc w:val="both"/>
        <w:rPr/>
      </w:pPr>
      <w:r>
        <w:rPr/>
        <w:t>[120.57] is applicable </w:t>
      </w:r>
      <w:r>
        <w:rPr>
          <w:sz w:val="28"/>
        </w:rPr>
        <w:t>. . . </w:t>
      </w:r>
      <w:r>
        <w:rPr/>
        <w:t xml:space="preserve">in matters involving environmental permitting determinations, only when </w:t>
      </w:r>
      <w:r>
        <w:rPr>
          <w:i/>
          <w:iCs/>
        </w:rPr>
        <w:t>that</w:t>
      </w:r>
      <w:r>
        <w:rPr/>
        <w:t xml:space="preserve"> party’s environmental interests are substantially affected in a manner different than the general public.  </w:t>
      </w:r>
      <w:r>
        <w:rPr>
          <w:i/>
          <w:iCs/>
        </w:rPr>
        <w:t xml:space="preserve">See Grove Isle Ltd. v. Bayshore Homeowner’s Association, Inc., </w:t>
      </w:r>
      <w:r>
        <w:rPr/>
        <w:t xml:space="preserve">418 So. 2d 1046, 1047-48 (Fla. 1st DCA 1982).  In order to initiate a Section 120.57(1), F.S., proceeding, Petitioner must allege that </w:t>
      </w:r>
      <w:r>
        <w:rPr>
          <w:i/>
          <w:iCs/>
        </w:rPr>
        <w:t>it has environmental interests, different from the general public at large</w:t>
      </w:r>
      <w:r>
        <w:rPr/>
        <w:t>, which will be substantially affected by the department’s proposed decision to issue the subject air pollution permit . . . .</w:t>
      </w:r>
    </w:p>
    <w:p>
      <w:pPr>
        <w:pStyle w:val="QuoteIndent"/>
        <w:jc w:val="both"/>
        <w:rPr/>
      </w:pPr>
      <w:r>
        <w:rPr/>
        <w:t xml:space="preserve">Therefore, Petitioner’s request for administrative proceeding, pursuant to Section 120.57(1), F.S., is dependent upon whether petitioner has alleged the proposed construction will substantially affect environmental concerns </w:t>
      </w:r>
      <w:r>
        <w:rPr>
          <w:i/>
          <w:iCs/>
        </w:rPr>
        <w:t xml:space="preserve">of Petitioner </w:t>
      </w:r>
      <w:r>
        <w:rPr/>
        <w:t>which are different from than [</w:t>
      </w:r>
      <w:r>
        <w:rPr>
          <w:i/>
          <w:iCs/>
        </w:rPr>
        <w:t>sic</w:t>
      </w:r>
      <w:r>
        <w:rPr/>
        <w:t xml:space="preserve">] the general public.  This Petitioner has not [so] alleged.  In paragraph 12 of its petition, Ryan Sales and Services, Inc. alleges that the applicant has failed to provide reasonable assurances that the project will not violate applicable standards of Chapters 17-2 and 17-4, Florida Administrative Code.  Petitioner also alleges that this failure will result in “impairing, polluting or otherwise injuring the air resources of the state.”  However, Petitioner omits any claim that the issuance of this permit will substantially affect </w:t>
      </w:r>
      <w:r>
        <w:rPr>
          <w:i/>
          <w:iCs/>
        </w:rPr>
        <w:t>Petitioner’s environmental concerns</w:t>
      </w:r>
      <w:r>
        <w:rPr/>
        <w:t>, such as air quality for example, any differently than the general public of Florida.  Thus, Petitioner fails to allege it has standing to initiate an administrative proceeding, pursuant to Section 120.57(1), Florida Statutes.</w:t>
      </w:r>
    </w:p>
    <w:p>
      <w:pPr>
        <w:pStyle w:val="Double"/>
        <w:jc w:val="both"/>
        <w:rPr/>
      </w:pPr>
      <w:r>
        <w:rPr>
          <w:i/>
          <w:iCs/>
        </w:rPr>
        <w:t>Ryan Sales and Services, Inc. v. Saint Lucie Incineration, Nick Stewart and Department of Environmental Regulation, </w:t>
      </w:r>
      <w:r>
        <w:rPr/>
        <w:t>— FALR — 1986 Fla. ENV LEXIS 4 (Fla. Dept. Env. Prot. 1986) (emphasis supplied).</w:t>
      </w:r>
    </w:p>
    <w:p>
      <w:pPr>
        <w:pStyle w:val="Double"/>
        <w:jc w:val="both"/>
        <w:rPr/>
      </w:pPr>
      <w:r>
        <w:rPr/>
        <w:tab/>
        <w:t xml:space="preserve">Coconut Creek’s suggestion that “downwind areas” </w:t>
      </w:r>
      <w:r>
        <w:rPr>
          <w:i/>
          <w:iCs/>
        </w:rPr>
        <w:t xml:space="preserve">may </w:t>
      </w:r>
      <w:r>
        <w:rPr/>
        <w:t>be impacted is insufficient under the law because a special, particularized injury is required:</w:t>
      </w:r>
    </w:p>
    <w:p>
      <w:pPr>
        <w:pStyle w:val="QuoteIndent"/>
        <w:jc w:val="both"/>
        <w:rPr/>
      </w:pPr>
      <w:r>
        <w:rPr/>
        <w:t xml:space="preserve">[Petitioners have not] demonstrated that </w:t>
      </w:r>
      <w:r>
        <w:rPr>
          <w:i/>
          <w:iCs/>
        </w:rPr>
        <w:t>they</w:t>
      </w:r>
      <w:r>
        <w:rPr/>
        <w:t xml:space="preserve"> </w:t>
      </w:r>
      <w:r>
        <w:rPr>
          <w:i/>
          <w:iCs/>
        </w:rPr>
        <w:t xml:space="preserve">will </w:t>
      </w:r>
      <w:r>
        <w:rPr/>
        <w:t xml:space="preserve">suffer any special injury from the proposed pipeline project.  Such “special injury,” </w:t>
      </w:r>
      <w:r>
        <w:rPr>
          <w:i/>
          <w:iCs/>
        </w:rPr>
        <w:t>beyond that which might be sustained by the public in general, is necessary to confer standing</w:t>
      </w:r>
      <w:r>
        <w:rPr/>
        <w:t xml:space="preserve"> under the Florida Administrative Procedure Act to challenge the Department’s preliminary action in issuing the Notice of Intent to grant Buckeye’s permit application.</w:t>
      </w:r>
    </w:p>
    <w:p>
      <w:pPr>
        <w:pStyle w:val="Double"/>
        <w:jc w:val="both"/>
        <w:rPr/>
      </w:pPr>
      <w:r>
        <w:rPr>
          <w:i/>
          <w:iCs/>
        </w:rPr>
        <w:t>Joyce T. Cummings, Sharon Cutter, Ronnie Edwards, Rebecca Edwards and Mitchell Edwards v. Department of Environmental Protection and Buckeye Florida, L.P</w:t>
      </w:r>
      <w:r>
        <w:rPr/>
        <w:t xml:space="preserve">., — ER FALR —, 1997 WL 676746, *8 (Fla. Dept. Env. Prot. 1997) (emphasis supplied, citations omitted).  Coconut Creek’s amended petition never provides the location or even the </w:t>
      </w:r>
      <w:r>
        <w:rPr>
          <w:i/>
          <w:iCs/>
        </w:rPr>
        <w:t>direction</w:t>
      </w:r>
      <w:r>
        <w:rPr/>
        <w:t xml:space="preserve"> of the “downwind areas” about which it is concerned.</w:t>
      </w:r>
    </w:p>
    <w:p>
      <w:pPr>
        <w:pStyle w:val="Double"/>
        <w:jc w:val="both"/>
        <w:rPr/>
      </w:pPr>
      <w:r>
        <w:rPr/>
        <w:tab/>
        <w:t xml:space="preserve">Because the amended petition does not narrow the field of concern to anything less than </w:t>
      </w:r>
      <w:r>
        <w:rPr>
          <w:i/>
          <w:iCs/>
        </w:rPr>
        <w:t>every</w:t>
      </w:r>
      <w:r>
        <w:rPr/>
        <w:t xml:space="preserve"> direction around the facility, Coconut Creek’s identification of the possibility of additional startup emissions falls far short of identifying any particularized threat of direct injury.  Coconut Creek’s allegation of a “concern” is entirely speculative and fails to invest it with standing for the same reasons that a general allegation that solid sulphur emissions were “environmentally regressive” was held to be insufficient to invest a petitioner with standing.  </w:t>
      </w:r>
      <w:r>
        <w:rPr>
          <w:i/>
          <w:iCs/>
        </w:rPr>
        <w:t>Agrico Chemical</w:t>
      </w:r>
      <w:r>
        <w:rPr/>
        <w:t xml:space="preserve">, 406 So. 2d at 481 n.3.  </w:t>
      </w:r>
    </w:p>
    <w:p>
      <w:pPr>
        <w:pStyle w:val="Double"/>
        <w:jc w:val="both"/>
        <w:rPr/>
      </w:pPr>
      <w:r>
        <w:rPr/>
        <w:tab/>
        <w:t>Because Coconut Creek’s petition never identifies any paticularized harm it will suffer from the proposed issuance, the allegations contained within the amended petition are insufficient to invest Coconut Creek with standing to initiate a formal administrative proceeding.</w:t>
      </w:r>
    </w:p>
    <w:p>
      <w:pPr>
        <w:pStyle w:val="Double"/>
        <w:jc w:val="center"/>
        <w:rPr>
          <w:b/>
          <w:bCs/>
          <w:smallCaps/>
        </w:rPr>
      </w:pPr>
      <w:r>
        <w:rPr>
          <w:b/>
          <w:bCs/>
          <w:smallCaps/>
        </w:rPr>
        <w:t>Conclusion</w:t>
      </w:r>
    </w:p>
    <w:p>
      <w:pPr>
        <w:pStyle w:val="Double"/>
        <w:jc w:val="both"/>
        <w:rPr/>
      </w:pPr>
      <w:r>
        <w:rPr/>
        <w:tab/>
        <w:t>For the foregoing reasons, Pompano Beach Energy Center respectfully requests that the Department dismiss Coconut Creek’s amended petition for formal administrative hearing.</w:t>
      </w:r>
    </w:p>
    <w:p>
      <w:pPr>
        <w:pStyle w:val="Double"/>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p>
            <w:pPr>
              <w:pStyle w:val="Normal"/>
              <w:keepLines/>
              <w:rPr/>
            </w:pPr>
            <w:r>
              <w:rPr/>
            </w:r>
          </w:p>
          <w:p>
            <w:pPr>
              <w:pStyle w:val="Normal"/>
              <w:rPr/>
            </w:pPr>
            <w:r>
              <w:rPr/>
            </w:r>
          </w:p>
        </w:tc>
        <w:tc>
          <w:tcPr>
            <w:tcW w:w="4788" w:type="dxa"/>
            <w:tcBorders/>
          </w:tcPr>
          <w:p>
            <w:pPr>
              <w:pStyle w:val="Normal"/>
              <w:keepNext w:val="true"/>
              <w:keepLines/>
              <w:rPr/>
            </w:pPr>
            <w:r>
              <w:rPr/>
              <w:t>Respectfully submitted,</w:t>
            </w:r>
          </w:p>
          <w:p>
            <w:pPr>
              <w:pStyle w:val="Normal"/>
              <w:keepNext w:val="true"/>
              <w:keepLines/>
              <w:rPr/>
            </w:pPr>
            <w:r>
              <w:rPr/>
            </w:r>
          </w:p>
          <w:p>
            <w:pPr>
              <w:pStyle w:val="Normal"/>
              <w:keepLines/>
              <w:rPr/>
            </w:pPr>
            <w:r>
              <w:rPr/>
              <w:t>Debbie M. Orshefsky, Esq.</w:t>
            </w:r>
          </w:p>
          <w:p>
            <w:pPr>
              <w:pStyle w:val="Normal"/>
              <w:keepLines/>
              <w:rPr/>
            </w:pPr>
            <w:r>
              <w:rPr>
                <w:rFonts w:eastAsia="CG Times;Times New Roman"/>
              </w:rPr>
              <w:t xml:space="preserve">  </w:t>
            </w:r>
            <w:r>
              <w:rPr/>
              <w:t>Florida Bar No. 292869</w:t>
            </w:r>
          </w:p>
          <w:p>
            <w:pPr>
              <w:pStyle w:val="Normal"/>
              <w:keepLines/>
              <w:rPr/>
            </w:pPr>
            <w:r>
              <w:rPr/>
              <w:t>Greenberg Traurig, P.A.</w:t>
            </w:r>
          </w:p>
          <w:p>
            <w:pPr>
              <w:pStyle w:val="Normal"/>
              <w:keepLines/>
              <w:rPr/>
            </w:pPr>
            <w:r>
              <w:rPr/>
              <w:t>515 East Las Olas Boulevard, Suite 1500</w:t>
            </w:r>
          </w:p>
          <w:p>
            <w:pPr>
              <w:pStyle w:val="Normal"/>
              <w:keepLines/>
              <w:rPr/>
            </w:pPr>
            <w:r>
              <w:rPr/>
              <w:t>Fort Lauderdale, Florida  33301</w:t>
            </w:r>
          </w:p>
          <w:p>
            <w:pPr>
              <w:pStyle w:val="Normal"/>
              <w:keepLines/>
              <w:rPr/>
            </w:pPr>
            <w:r>
              <w:rPr/>
              <w:t>Telephone:  (954) 765-0500</w:t>
            </w:r>
          </w:p>
          <w:p>
            <w:pPr>
              <w:pStyle w:val="Normal"/>
              <w:keepLines/>
              <w:rPr/>
            </w:pPr>
            <w:r>
              <w:rPr/>
              <w:t>Facsimile:  (954) 765-1477</w:t>
            </w:r>
          </w:p>
          <w:p>
            <w:pPr>
              <w:pStyle w:val="Normal"/>
              <w:keepLines/>
              <w:rPr/>
            </w:pPr>
            <w:r>
              <w:rPr/>
            </w:r>
          </w:p>
          <w:p>
            <w:pPr>
              <w:pStyle w:val="Normal"/>
              <w:keepLines/>
              <w:rPr/>
            </w:pPr>
            <w:r>
              <w:rPr/>
              <w:t>-and-</w:t>
            </w:r>
          </w:p>
          <w:p>
            <w:pPr>
              <w:pStyle w:val="Normal"/>
              <w:keepLines/>
              <w:rPr/>
            </w:pPr>
            <w:r>
              <w:rPr/>
            </w:r>
          </w:p>
          <w:p>
            <w:pPr>
              <w:pStyle w:val="Normal"/>
              <w:keepLines/>
              <w:rPr/>
            </w:pPr>
            <w:r>
              <w:rPr/>
            </w:r>
          </w:p>
          <w:p>
            <w:pPr>
              <w:pStyle w:val="Normal"/>
              <w:keepLines/>
              <w:rPr/>
            </w:pPr>
            <w:r>
              <w:rPr/>
            </w:r>
          </w:p>
          <w:p>
            <w:pPr>
              <w:pStyle w:val="Normal"/>
              <w:keepLines/>
              <w:rPr/>
            </w:pPr>
            <w:r>
              <w:rPr/>
            </w:r>
          </w:p>
          <w:p>
            <w:pPr>
              <w:pStyle w:val="Normal"/>
              <w:keepLines/>
              <w:rPr/>
            </w:pPr>
            <w:r>
              <w:rPr/>
            </w:r>
          </w:p>
          <w:p>
            <w:pPr>
              <w:pStyle w:val="Normal"/>
              <w:keepLines/>
              <w:rPr/>
            </w:pPr>
            <w:r>
              <w:rPr/>
            </w:r>
          </w:p>
          <w:p>
            <w:pPr>
              <w:pStyle w:val="Normal"/>
              <w:rPr/>
            </w:pPr>
            <w:r>
              <w:rPr/>
              <w:t>Kerri L. Barsh, Esq.</w:t>
            </w:r>
          </w:p>
          <w:p>
            <w:pPr>
              <w:pStyle w:val="Normal"/>
              <w:rPr/>
            </w:pPr>
            <w:r>
              <w:rPr>
                <w:rFonts w:eastAsia="CG Times;Times New Roman"/>
              </w:rPr>
              <w:t xml:space="preserve">  </w:t>
            </w:r>
            <w:r>
              <w:rPr/>
              <w:t>Florida Bar No. 443840</w:t>
            </w:r>
          </w:p>
          <w:p>
            <w:pPr>
              <w:pStyle w:val="Normal"/>
              <w:rPr/>
            </w:pPr>
            <w:r>
              <w:rPr/>
              <w:t>Paul C. Savage, Esq.</w:t>
            </w:r>
          </w:p>
          <w:p>
            <w:pPr>
              <w:pStyle w:val="Normal"/>
              <w:rPr/>
            </w:pPr>
            <w:r>
              <w:rPr>
                <w:rFonts w:eastAsia="CG Times;Times New Roman"/>
              </w:rPr>
              <w:t xml:space="preserve">  </w:t>
            </w:r>
            <w:r>
              <w:rPr/>
              <w:t>Florida Bar No. 088587</w:t>
            </w:r>
          </w:p>
          <w:p>
            <w:pPr>
              <w:pStyle w:val="Normal"/>
              <w:rPr/>
            </w:pPr>
            <w:r>
              <w:rPr/>
              <w:t>Greenberg Traurig, P.A.</w:t>
            </w:r>
          </w:p>
          <w:p>
            <w:pPr>
              <w:pStyle w:val="Normal"/>
              <w:keepLines/>
              <w:rPr/>
            </w:pPr>
            <w:r>
              <w:rPr/>
              <w:t>1221 Brickell Avenue</w:t>
            </w:r>
          </w:p>
          <w:p>
            <w:pPr>
              <w:pStyle w:val="Normal"/>
              <w:keepLines/>
              <w:rPr/>
            </w:pPr>
            <w:r>
              <w:rPr/>
              <w:t>Miami, Florida 33131</w:t>
            </w:r>
          </w:p>
          <w:p>
            <w:pPr>
              <w:pStyle w:val="Normal"/>
              <w:keepLines/>
              <w:rPr/>
            </w:pPr>
            <w:r>
              <w:rPr/>
              <w:t>Telephone:  (305) 579-0500</w:t>
            </w:r>
          </w:p>
          <w:p>
            <w:pPr>
              <w:pStyle w:val="Normal"/>
              <w:rPr/>
            </w:pPr>
            <w:r>
              <w:rPr/>
              <w:t>Facsimile:  (305) 579-0723</w:t>
            </w:r>
          </w:p>
          <w:p>
            <w:pPr>
              <w:pStyle w:val="Normal"/>
              <w:rPr/>
            </w:pPr>
            <w:r>
              <w:rPr/>
            </w:r>
          </w:p>
          <w:p>
            <w:pPr>
              <w:pStyle w:val="Normal"/>
              <w:tabs>
                <w:tab w:val="clear" w:pos="5040"/>
                <w:tab w:val="left" w:pos="720" w:leader="none"/>
                <w:tab w:val="left" w:pos="1440" w:leader="none"/>
                <w:tab w:val="left" w:pos="2160" w:leader="none"/>
                <w:tab w:val="left" w:pos="4392" w:leader="none"/>
              </w:tabs>
              <w:rPr/>
            </w:pPr>
            <w:r>
              <w:rPr/>
              <w:t>By:</w:t>
            </w:r>
            <w:r>
              <w:rPr>
                <w:u w:val="single"/>
              </w:rPr>
              <w:tab/>
              <w:tab/>
              <w:tab/>
              <w:tab/>
            </w:r>
          </w:p>
          <w:p>
            <w:pPr>
              <w:pStyle w:val="Normal"/>
              <w:jc w:val="center"/>
              <w:rPr/>
            </w:pPr>
            <w:r>
              <w:rPr/>
              <w:t>Kerri L. Barsh</w:t>
            </w:r>
          </w:p>
        </w:tc>
      </w:tr>
      <w:tr>
        <w:trPr/>
        <w:tc>
          <w:tcPr>
            <w:tcW w:w="9576" w:type="dxa"/>
            <w:gridSpan w:val="2"/>
            <w:tcBorders/>
          </w:tcPr>
          <w:p>
            <w:pPr>
              <w:pStyle w:val="Normal"/>
              <w:keepNext w:val="true"/>
              <w:keepLines/>
              <w:jc w:val="center"/>
              <w:rPr>
                <w:i/>
                <w:i/>
                <w:iCs/>
              </w:rPr>
            </w:pPr>
            <w:r>
              <w:rPr>
                <w:i/>
              </w:rPr>
              <w:t>Counsel for Pompano Beach Energy, L.L.C.</w:t>
            </w:r>
          </w:p>
        </w:tc>
      </w:tr>
    </w:tbl>
    <w:p>
      <w:pPr>
        <w:pStyle w:val="Normal"/>
        <w:rPr/>
      </w:pPr>
      <w:r>
        <w:rPr/>
      </w:r>
    </w:p>
    <w:p>
      <w:pPr>
        <w:pStyle w:val="CenteredHdg"/>
        <w:rPr/>
      </w:pPr>
      <w:r>
        <w:rPr/>
        <w:t>CERTIFICATE OF SERVICE</w:t>
      </w:r>
    </w:p>
    <w:p>
      <w:pPr>
        <w:pStyle w:val="Double"/>
        <w:jc w:val="both"/>
        <w:rPr/>
      </w:pPr>
      <w:r>
        <w:rPr/>
        <w:tab/>
        <w:t>I certify that this motion to dismiss Coconut Creek’s amended petition for formal administrative hearing was sent by overnight courier to Kathy Carter, Agency Clerk for the Office of General Counsel, 3900 Commonwealth Boulevard, MS 35, Marjorie Stoneman Douglas Building, Tallahassee, Florida 32399-3000 and mailed on June __, 2001 to:</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t>Teri Donaldson, General Counsel</w:t>
            </w:r>
          </w:p>
          <w:p>
            <w:pPr>
              <w:pStyle w:val="Normal"/>
              <w:rPr/>
            </w:pPr>
            <w:r>
              <w:rPr/>
              <w:t>Office of the General Counsel</w:t>
            </w:r>
          </w:p>
          <w:p>
            <w:pPr>
              <w:pStyle w:val="Normal"/>
              <w:rPr/>
            </w:pPr>
            <w:r>
              <w:rPr/>
              <w:t>Florida Department of Environmental Protection</w:t>
            </w:r>
          </w:p>
          <w:p>
            <w:pPr>
              <w:pStyle w:val="Normal"/>
              <w:rPr/>
            </w:pPr>
            <w:r>
              <w:rPr/>
              <w:t>3900 Commonwealth Boulevard, MS 35</w:t>
            </w:r>
          </w:p>
          <w:p>
            <w:pPr>
              <w:pStyle w:val="Normal"/>
              <w:rPr/>
            </w:pPr>
            <w:r>
              <w:rPr/>
              <w:t>Tallahassee, Florida 32399-3000</w:t>
            </w:r>
          </w:p>
          <w:p>
            <w:pPr>
              <w:pStyle w:val="Normal"/>
              <w:rPr/>
            </w:pPr>
            <w:r>
              <w:rPr/>
            </w:r>
          </w:p>
          <w:p>
            <w:pPr>
              <w:pStyle w:val="Normal"/>
              <w:rPr>
                <w:i/>
                <w:i/>
                <w:iCs/>
              </w:rPr>
            </w:pPr>
            <w:r>
              <w:rPr>
                <w:i/>
                <w:iCs/>
              </w:rPr>
              <w:t>General Counsel to the Florida Department</w:t>
            </w:r>
          </w:p>
          <w:p>
            <w:pPr>
              <w:pStyle w:val="Normal"/>
              <w:rPr>
                <w:i/>
                <w:i/>
                <w:iCs/>
              </w:rPr>
            </w:pPr>
            <w:r>
              <w:rPr>
                <w:rFonts w:eastAsia="CG Times;Times New Roman"/>
                <w:i/>
                <w:iCs/>
              </w:rPr>
              <w:t xml:space="preserve">  </w:t>
            </w:r>
            <w:r>
              <w:rPr>
                <w:i/>
                <w:iCs/>
              </w:rPr>
              <w:t>of Environmental Protection</w:t>
            </w:r>
          </w:p>
        </w:tc>
        <w:tc>
          <w:tcPr>
            <w:tcW w:w="4788" w:type="dxa"/>
            <w:tcBorders/>
          </w:tcPr>
          <w:p>
            <w:pPr>
              <w:pStyle w:val="Normal"/>
              <w:rPr/>
            </w:pPr>
            <w:r>
              <w:rPr/>
              <w:t>Nancy A. Cousins</w:t>
            </w:r>
          </w:p>
          <w:p>
            <w:pPr>
              <w:pStyle w:val="Normal"/>
              <w:rPr/>
            </w:pPr>
            <w:r>
              <w:rPr/>
              <w:t>Assistant City Attorney</w:t>
            </w:r>
          </w:p>
          <w:p>
            <w:pPr>
              <w:pStyle w:val="Normal"/>
              <w:rPr/>
            </w:pPr>
            <w:r>
              <w:rPr/>
              <w:t>City of Coconut Creek</w:t>
            </w:r>
          </w:p>
          <w:p>
            <w:pPr>
              <w:pStyle w:val="Normal"/>
              <w:rPr/>
            </w:pPr>
            <w:r>
              <w:rPr/>
              <w:t>4800 West Copans Road</w:t>
            </w:r>
          </w:p>
          <w:p>
            <w:pPr>
              <w:pStyle w:val="Normal"/>
              <w:rPr/>
            </w:pPr>
            <w:r>
              <w:rPr/>
              <w:t>Coconut Creek, FL 33063</w:t>
            </w:r>
          </w:p>
          <w:p>
            <w:pPr>
              <w:pStyle w:val="Normal"/>
              <w:rPr/>
            </w:pPr>
            <w:r>
              <w:rPr/>
            </w:r>
          </w:p>
          <w:p>
            <w:pPr>
              <w:pStyle w:val="Normal"/>
              <w:rPr>
                <w:i/>
                <w:i/>
                <w:iCs/>
              </w:rPr>
            </w:pPr>
            <w:r>
              <w:rPr>
                <w:i/>
                <w:iCs/>
              </w:rPr>
              <w:t>Counsel for the City of Coconut Creek</w:t>
            </w:r>
          </w:p>
        </w:tc>
      </w:tr>
      <w:tr>
        <w:trPr/>
        <w:tc>
          <w:tcPr>
            <w:tcW w:w="4788" w:type="dxa"/>
            <w:tcBorders/>
          </w:tcPr>
          <w:p>
            <w:pPr>
              <w:pStyle w:val="Normal"/>
              <w:snapToGrid w:val="false"/>
              <w:rPr>
                <w:i/>
                <w:i/>
                <w:iCs/>
              </w:rPr>
            </w:pPr>
            <w:r>
              <w:rPr>
                <w:i/>
                <w:iCs/>
              </w:rPr>
            </w:r>
          </w:p>
          <w:p>
            <w:pPr>
              <w:pStyle w:val="Normal"/>
              <w:rPr/>
            </w:pPr>
            <w:r>
              <w:rPr/>
              <w:t>Eugene M. Steinfeld</w:t>
            </w:r>
          </w:p>
          <w:p>
            <w:pPr>
              <w:pStyle w:val="Normal"/>
              <w:rPr/>
            </w:pPr>
            <w:r>
              <w:rPr/>
              <w:t>City Attorney</w:t>
            </w:r>
          </w:p>
          <w:p>
            <w:pPr>
              <w:pStyle w:val="Normal"/>
              <w:rPr/>
            </w:pPr>
            <w:r>
              <w:rPr/>
              <w:t>City of Margate</w:t>
            </w:r>
          </w:p>
          <w:p>
            <w:pPr>
              <w:pStyle w:val="Normal"/>
              <w:rPr/>
            </w:pPr>
            <w:r>
              <w:rPr/>
              <w:t>5790 Margate Boulevard</w:t>
            </w:r>
          </w:p>
          <w:p>
            <w:pPr>
              <w:pStyle w:val="Normal"/>
              <w:rPr/>
            </w:pPr>
            <w:r>
              <w:rPr/>
              <w:t>Margate, Florida 33063</w:t>
            </w:r>
          </w:p>
          <w:p>
            <w:pPr>
              <w:pStyle w:val="Normal"/>
              <w:rPr/>
            </w:pPr>
            <w:r>
              <w:rPr/>
            </w:r>
          </w:p>
          <w:p>
            <w:pPr>
              <w:pStyle w:val="Normal"/>
              <w:rPr>
                <w:i/>
                <w:i/>
                <w:iCs/>
              </w:rPr>
            </w:pPr>
            <w:r>
              <w:rPr>
                <w:i/>
                <w:iCs/>
              </w:rPr>
              <w:t>Counsel for the City of Margate</w:t>
            </w:r>
          </w:p>
          <w:p>
            <w:pPr>
              <w:pStyle w:val="Normal"/>
              <w:rPr>
                <w:i/>
                <w:i/>
                <w:iCs/>
              </w:rPr>
            </w:pPr>
            <w:r>
              <w:rPr>
                <w:i/>
                <w:iCs/>
              </w:rPr>
            </w:r>
          </w:p>
        </w:tc>
        <w:tc>
          <w:tcPr>
            <w:tcW w:w="4788" w:type="dxa"/>
            <w:tcBorders/>
          </w:tcPr>
          <w:p>
            <w:pPr>
              <w:pStyle w:val="Normal"/>
              <w:snapToGrid w:val="false"/>
              <w:rPr>
                <w:i/>
                <w:i/>
                <w:iCs/>
              </w:rPr>
            </w:pPr>
            <w:r>
              <w:rPr>
                <w:i/>
                <w:iCs/>
              </w:rPr>
            </w:r>
          </w:p>
          <w:p>
            <w:pPr>
              <w:pStyle w:val="Normal"/>
              <w:rPr/>
            </w:pPr>
            <w:r>
              <w:rPr/>
              <w:t>John J. Hearn</w:t>
            </w:r>
          </w:p>
          <w:p>
            <w:pPr>
              <w:pStyle w:val="Normal"/>
              <w:rPr/>
            </w:pPr>
            <w:r>
              <w:rPr/>
              <w:t>Assistant City Attorney</w:t>
            </w:r>
          </w:p>
          <w:p>
            <w:pPr>
              <w:pStyle w:val="Normal"/>
              <w:rPr/>
            </w:pPr>
            <w:r>
              <w:rPr/>
              <w:t>City of Coral Springs</w:t>
            </w:r>
          </w:p>
          <w:p>
            <w:pPr>
              <w:pStyle w:val="Normal"/>
              <w:rPr/>
            </w:pPr>
            <w:r>
              <w:rPr/>
              <w:t>9551 West Sample Road</w:t>
            </w:r>
          </w:p>
          <w:p>
            <w:pPr>
              <w:pStyle w:val="Normal"/>
              <w:rPr/>
            </w:pPr>
            <w:r>
              <w:rPr/>
              <w:t>Coral Springs, Florida 33065</w:t>
            </w:r>
          </w:p>
          <w:p>
            <w:pPr>
              <w:pStyle w:val="Normal"/>
              <w:rPr/>
            </w:pPr>
            <w:r>
              <w:rPr/>
            </w:r>
          </w:p>
          <w:p>
            <w:pPr>
              <w:pStyle w:val="Normal"/>
              <w:rPr>
                <w:i/>
                <w:i/>
                <w:iCs/>
              </w:rPr>
            </w:pPr>
            <w:r>
              <w:rPr>
                <w:i/>
                <w:iCs/>
              </w:rPr>
              <w:t>Counsel for the City of Coral Springs</w:t>
            </w:r>
          </w:p>
        </w:tc>
      </w:tr>
      <w:tr>
        <w:trPr/>
        <w:tc>
          <w:tcPr>
            <w:tcW w:w="4788" w:type="dxa"/>
            <w:tcBorders/>
          </w:tcPr>
          <w:p>
            <w:pPr>
              <w:pStyle w:val="Normal"/>
              <w:snapToGrid w:val="false"/>
              <w:rPr>
                <w:i/>
                <w:i/>
                <w:iCs/>
              </w:rPr>
            </w:pPr>
            <w:r>
              <w:rPr>
                <w:i/>
                <w:iCs/>
              </w:rPr>
            </w:r>
          </w:p>
        </w:tc>
        <w:tc>
          <w:tcPr>
            <w:tcW w:w="4788" w:type="dxa"/>
            <w:tcBorders/>
          </w:tcPr>
          <w:p>
            <w:pPr>
              <w:pStyle w:val="Normal"/>
              <w:snapToGrid w:val="false"/>
              <w:rPr>
                <w:i/>
                <w:i/>
                <w:iCs/>
              </w:rPr>
            </w:pPr>
            <w:r>
              <w:rPr>
                <w:i/>
                <w:iCs/>
              </w:rPr>
            </w:r>
          </w:p>
        </w:tc>
      </w:tr>
    </w:tbl>
    <w:p>
      <w:pPr>
        <w:pStyle w:val="Normal"/>
        <w:rPr/>
      </w:pPr>
      <w:r>
        <w:rPr/>
      </w:r>
    </w:p>
    <w:p>
      <w:pPr>
        <w:pStyle w:val="SignBlock"/>
        <w:rPr/>
      </w:pPr>
      <w:r>
        <w:rPr/>
        <w:tab/>
      </w:r>
      <w:r>
        <w:rPr>
          <w:u w:val="single"/>
        </w:rPr>
        <w:tab/>
        <w:tab/>
      </w:r>
    </w:p>
    <w:p>
      <w:pPr>
        <w:pStyle w:val="SignBlock"/>
        <w:rPr/>
      </w:pPr>
      <w:r>
        <w:rPr/>
        <w:tab/>
        <w:tab/>
        <w:t>Kerri L. Barsh</w:t>
      </w:r>
    </w:p>
    <w:p>
      <w:pPr>
        <w:pStyle w:val="Normal"/>
        <w:rPr/>
      </w:pPr>
      <w:r>
        <w:rPr/>
      </w:r>
    </w:p>
    <w:p>
      <w:pPr>
        <w:pStyle w:val="Normal"/>
        <w:rPr>
          <w:sz w:val="12"/>
        </w:rPr>
      </w:pPr>
      <w:bookmarkStart w:id="0" w:name="lpDocsInfo"/>
      <w:r>
        <w:rPr>
          <w:sz w:val="12"/>
        </w:rPr>
        <w:fldChar w:fldCharType="begin"/>
      </w:r>
      <w:r>
        <w:rPr>
          <w:sz w:val="12"/>
        </w:rPr>
        <w:instrText xml:space="preserve"> DOCPROPERTY "gtTagLine"</w:instrText>
      </w:r>
      <w:r>
        <w:rPr>
          <w:sz w:val="12"/>
        </w:rPr>
        <w:fldChar w:fldCharType="separate"/>
      </w:r>
      <w:r>
        <w:rPr>
          <w:sz w:val="12"/>
        </w:rPr>
        <w:t>\\MIA-SRV01\SAVAGEP\1316997v01\S87901!.DOC\6/11/01\42292.010300</w:t>
      </w:r>
      <w:r>
        <w:rPr>
          <w:sz w:val="12"/>
        </w:rPr>
        <w:fldChar w:fldCharType="end"/>
      </w:r>
      <w:bookmarkEnd w:id="0"/>
    </w:p>
    <w:sectPr>
      <w:footerReference w:type="default" r:id="rId2"/>
      <w:footerReference w:type="first" r:id="rId3"/>
      <w:type w:val="nextPage"/>
      <w:pgSz w:w="12240" w:h="15840"/>
      <w:pgMar w:left="1440" w:right="1440" w:gutter="0" w:header="0" w:top="1440" w:footer="936"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CG Times Bold">
    <w:altName w:val="Times New Roman"/>
    <w:charset w:val="00" w:characterSet="windows-1252"/>
    <w:family w:val="roman"/>
    <w:pitch w:val="default"/>
  </w:font>
  <w:font w:name="Liberation Sans">
    <w:altName w:val="Arial"/>
    <w:charset w:val="01" w:characterSet="utf-8"/>
    <w:family w:val="swiss"/>
    <w:pitch w:val="variable"/>
  </w:font>
  <w:font w:name="Calisto MT">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Normal"/>
                            <w:rPr/>
                          </w:pPr>
                          <w:r>
                            <w:rPr/>
                            <w:fldChar w:fldCharType="begin"/>
                          </w:r>
                          <w:r>
                            <w:rPr/>
                            <w:instrText xml:space="preserve"> PAGE </w:instrText>
                          </w:r>
                          <w:r>
                            <w:rPr/>
                            <w:fldChar w:fldCharType="separate"/>
                          </w:r>
                          <w:r>
                            <w:rPr/>
                            <w:t>13</w:t>
                          </w:r>
                          <w: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Normal"/>
                      <w:rPr/>
                    </w:pPr>
                    <w:r>
                      <w:rPr/>
                      <w:fldChar w:fldCharType="begin"/>
                    </w:r>
                    <w:r>
                      <w:rPr/>
                      <w:instrText xml:space="preserve"> PAGE </w:instrText>
                    </w:r>
                    <w:r>
                      <w:rPr/>
                      <w:fldChar w:fldCharType="separate"/>
                    </w:r>
                    <w:r>
                      <w:rPr/>
                      <w:t>13</w:t>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lvl>
    <w:lvl w:ilvl="1">
      <w:start w:val="1"/>
      <w:pStyle w:val="Heading2"/>
      <w:numFmt w:val="upperLetter"/>
      <w:lvlText w:val="%2."/>
      <w:lvlJc w:val="start"/>
      <w:pPr>
        <w:tabs>
          <w:tab w:val="num" w:pos="1440"/>
        </w:tabs>
        <w:ind w:start="1440" w:hanging="720"/>
      </w:pPr>
      <w:rPr/>
    </w:lvl>
    <w:lvl w:ilvl="2">
      <w:start w:val="1"/>
      <w:pStyle w:val="Heading3"/>
      <w:numFmt w:val="decimal"/>
      <w:lvlText w:val="(%3)"/>
      <w:lvlJc w:val="start"/>
      <w:pPr>
        <w:tabs>
          <w:tab w:val="num" w:pos="2160"/>
        </w:tabs>
        <w:ind w:start="2160" w:hanging="720"/>
      </w:pPr>
      <w:rPr/>
    </w:lvl>
    <w:lvl w:ilvl="3">
      <w:start w:val="1"/>
      <w:pStyle w:val="Heading4"/>
      <w:numFmt w:val="lowerLetter"/>
      <w:lvlText w:val="(%4)"/>
      <w:lvlJc w:val="start"/>
      <w:pPr>
        <w:tabs>
          <w:tab w:val="num" w:pos="2880"/>
        </w:tabs>
        <w:ind w:start="2880" w:hanging="720"/>
      </w:pPr>
      <w:rPr/>
    </w:lvl>
    <w:lvl w:ilvl="4">
      <w:start w:val="1"/>
      <w:pStyle w:val="Heading5"/>
      <w:numFmt w:val="lowerRoman"/>
      <w:lvlText w:val="(%5)"/>
      <w:lvlJc w:val="start"/>
      <w:pPr>
        <w:tabs>
          <w:tab w:val="num" w:pos="3600"/>
        </w:tabs>
        <w:ind w:start="3600" w:hanging="720"/>
      </w:pPr>
      <w:rPr/>
    </w:lvl>
    <w:lvl w:ilvl="5">
      <w:start w:val="1"/>
      <w:pStyle w:val="Heading6"/>
      <w:numFmt w:val="decimal"/>
      <w:lvlText w:val="%6."/>
      <w:lvlJc w:val="start"/>
      <w:pPr>
        <w:tabs>
          <w:tab w:val="num" w:pos="4320"/>
        </w:tabs>
        <w:ind w:start="4320" w:hanging="720"/>
      </w:pPr>
      <w:rPr/>
    </w:lvl>
    <w:lvl w:ilvl="6">
      <w:start w:val="1"/>
      <w:pStyle w:val="Heading7"/>
      <w:numFmt w:val="lowerLetter"/>
      <w:lvlText w:val="%7."/>
      <w:lvlJc w:val="start"/>
      <w:pPr>
        <w:tabs>
          <w:tab w:val="num" w:pos="5040"/>
        </w:tabs>
        <w:ind w:start="5040" w:hanging="720"/>
      </w:pPr>
      <w:rPr/>
    </w:lvl>
    <w:lvl w:ilvl="7">
      <w:start w:val="1"/>
      <w:pStyle w:val="Heading8"/>
      <w:numFmt w:val="lowerRoman"/>
      <w:lvlText w:val="%8."/>
      <w:lvlJc w:val="start"/>
      <w:pPr>
        <w:tabs>
          <w:tab w:val="num" w:pos="5760"/>
        </w:tabs>
        <w:ind w:start="5760" w:hanging="720"/>
      </w:pPr>
      <w:rPr/>
    </w:lvl>
    <w:lvl w:ilvl="8">
      <w:start w:val="1"/>
      <w:pStyle w:val="Heading9"/>
      <w:numFmt w:val="decimal"/>
      <w:lvlText w:val="%9)"/>
      <w:lvlJc w:val="start"/>
      <w:pPr>
        <w:tabs>
          <w:tab w:val="num" w:pos="6480"/>
        </w:tabs>
        <w:ind w:start="6480" w:hanging="720"/>
      </w:pPr>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gtTLAUPref" w:val="0"/>
    <w:docVar w:name="gtTLDlgPref" w:val="Last page;None;Left;6;1;1;1;1;1;1;0"/>
    <w:docVar w:name="gtTLStatus" w:val="updateabl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left" w:pos="720" w:leader="none"/>
        <w:tab w:val="left" w:pos="1440" w:leader="none"/>
        <w:tab w:val="left" w:pos="2160" w:leader="none"/>
        <w:tab w:val="left" w:pos="5040" w:leader="none"/>
      </w:tabs>
      <w:suppressAutoHyphens w:val="true"/>
      <w:bidi w:val="0"/>
    </w:pPr>
    <w:rPr>
      <w:rFonts w:ascii="CG Times;Times New Roman" w:hAnsi="CG Times;Times New Roman" w:eastAsia="Times New Roman" w:cs="CG Times;Times New Roman"/>
      <w:color w:val="auto"/>
      <w:sz w:val="24"/>
      <w:szCs w:val="24"/>
      <w:lang w:val="en-US" w:bidi="ar-SA" w:eastAsia="zh-CN"/>
    </w:rPr>
  </w:style>
  <w:style w:type="paragraph" w:styleId="Heading1">
    <w:name w:val="heading 1"/>
    <w:basedOn w:val="Normal"/>
    <w:next w:val="Double"/>
    <w:qFormat/>
    <w:pPr>
      <w:keepNext w:val="true"/>
      <w:numPr>
        <w:ilvl w:val="0"/>
        <w:numId w:val="1"/>
      </w:numPr>
      <w:spacing w:before="0" w:after="120"/>
      <w:ind w:hanging="0" w:start="0" w:end="720"/>
      <w:outlineLvl w:val="0"/>
    </w:pPr>
    <w:rPr>
      <w:rFonts w:ascii="CG Times Bold;Times New Roman" w:hAnsi="CG Times Bold;Times New Roman" w:cs="CG Times Bold;Times New Roman"/>
      <w:b/>
    </w:rPr>
  </w:style>
  <w:style w:type="paragraph" w:styleId="Heading2">
    <w:name w:val="heading 2"/>
    <w:basedOn w:val="Heading1"/>
    <w:next w:val="Double"/>
    <w:qFormat/>
    <w:pPr>
      <w:numPr>
        <w:ilvl w:val="1"/>
        <w:numId w:val="1"/>
      </w:numPr>
      <w:outlineLvl w:val="1"/>
    </w:pPr>
    <w:rPr/>
  </w:style>
  <w:style w:type="paragraph" w:styleId="Heading3">
    <w:name w:val="heading 3"/>
    <w:basedOn w:val="Heading2"/>
    <w:next w:val="Double"/>
    <w:qFormat/>
    <w:pPr>
      <w:numPr>
        <w:ilvl w:val="2"/>
        <w:numId w:val="1"/>
      </w:numPr>
      <w:outlineLvl w:val="2"/>
    </w:pPr>
    <w:rPr/>
  </w:style>
  <w:style w:type="paragraph" w:styleId="Heading4">
    <w:name w:val="heading 4"/>
    <w:basedOn w:val="Heading3"/>
    <w:next w:val="Double"/>
    <w:qFormat/>
    <w:pPr>
      <w:numPr>
        <w:ilvl w:val="3"/>
        <w:numId w:val="1"/>
      </w:numPr>
      <w:outlineLvl w:val="3"/>
    </w:pPr>
    <w:rPr/>
  </w:style>
  <w:style w:type="paragraph" w:styleId="Heading5">
    <w:name w:val="heading 5"/>
    <w:basedOn w:val="Heading1"/>
    <w:next w:val="Double"/>
    <w:qFormat/>
    <w:pPr>
      <w:numPr>
        <w:ilvl w:val="4"/>
        <w:numId w:val="1"/>
      </w:numPr>
      <w:outlineLvl w:val="4"/>
    </w:pPr>
    <w:rPr/>
  </w:style>
  <w:style w:type="paragraph" w:styleId="Heading6">
    <w:name w:val="heading 6"/>
    <w:basedOn w:val="Heading1"/>
    <w:next w:val="Double"/>
    <w:qFormat/>
    <w:pPr>
      <w:numPr>
        <w:ilvl w:val="5"/>
        <w:numId w:val="1"/>
      </w:numPr>
      <w:outlineLvl w:val="5"/>
    </w:pPr>
    <w:rPr/>
  </w:style>
  <w:style w:type="paragraph" w:styleId="Heading7">
    <w:name w:val="heading 7"/>
    <w:basedOn w:val="Heading6"/>
    <w:next w:val="Double"/>
    <w:qFormat/>
    <w:pPr>
      <w:numPr>
        <w:ilvl w:val="6"/>
        <w:numId w:val="1"/>
      </w:numPr>
      <w:outlineLvl w:val="6"/>
    </w:pPr>
    <w:rPr/>
  </w:style>
  <w:style w:type="paragraph" w:styleId="Heading8">
    <w:name w:val="heading 8"/>
    <w:basedOn w:val="Heading7"/>
    <w:next w:val="Double"/>
    <w:qFormat/>
    <w:pPr>
      <w:numPr>
        <w:ilvl w:val="7"/>
        <w:numId w:val="1"/>
      </w:numPr>
      <w:outlineLvl w:val="7"/>
    </w:pPr>
    <w:rPr/>
  </w:style>
  <w:style w:type="paragraph" w:styleId="Heading9">
    <w:name w:val="heading 9"/>
    <w:basedOn w:val="Heading8"/>
    <w:next w:val="Double"/>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basedOn w:val="DefaultParagraphFont"/>
    <w:qFormat/>
    <w:rPr>
      <w:rFonts w:ascii="CG Times;Times New Roman" w:hAnsi="CG Times;Times New Roman" w:cs="CG Times;Times New Roman"/>
      <w:sz w:val="24"/>
      <w:u w:val="none"/>
      <w:vertAlign w:val="superscript"/>
    </w:rPr>
  </w:style>
  <w:style w:type="character" w:styleId="PageNumber">
    <w:name w:val="page number"/>
    <w:basedOn w:val="DefaultParagraphFont"/>
    <w:rPr>
      <w:rFonts w:ascii="CG Times;Times New Roman" w:hAnsi="CG Times;Times New Roman" w:cs="CG Times;Times New Roman"/>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uble">
    <w:name w:val="Double"/>
    <w:basedOn w:val="Normal"/>
    <w:qFormat/>
    <w:pPr>
      <w:spacing w:lineRule="exact" w:line="480"/>
    </w:pPr>
    <w:rPr/>
  </w:style>
  <w:style w:type="paragraph" w:styleId="QuoteIndent">
    <w:name w:val="QuoteIndent"/>
    <w:basedOn w:val="Normal"/>
    <w:next w:val="Double"/>
    <w:qFormat/>
    <w:pPr>
      <w:spacing w:before="200" w:after="160"/>
      <w:ind w:hanging="0" w:start="720" w:end="720"/>
    </w:pPr>
    <w:rPr/>
  </w:style>
  <w:style w:type="paragraph" w:styleId="SignBlock">
    <w:name w:val="SignBlock"/>
    <w:basedOn w:val="Normal"/>
    <w:qFormat/>
    <w:pPr>
      <w:tabs>
        <w:tab w:val="clear" w:pos="720"/>
        <w:tab w:val="clear" w:pos="1440"/>
        <w:tab w:val="clear" w:pos="2160"/>
        <w:tab w:val="left" w:pos="5040" w:leader="none"/>
        <w:tab w:val="center" w:pos="7200" w:leader="none"/>
        <w:tab w:val="left" w:pos="9360" w:leader="none"/>
      </w:tabs>
    </w:pPr>
    <w:rPr/>
  </w:style>
  <w:style w:type="paragraph" w:styleId="TOC1">
    <w:name w:val="toc 1"/>
    <w:basedOn w:val="Normal"/>
    <w:pPr>
      <w:tabs>
        <w:tab w:val="clear" w:pos="720"/>
        <w:tab w:val="clear" w:pos="1440"/>
        <w:tab w:val="clear" w:pos="2160"/>
        <w:tab w:val="clear" w:pos="5040"/>
        <w:tab w:val="right" w:pos="9360" w:leader="dot"/>
      </w:tabs>
      <w:spacing w:before="0" w:after="240"/>
      <w:ind w:hanging="720" w:start="720" w:end="1440"/>
    </w:pPr>
    <w:rPr/>
  </w:style>
  <w:style w:type="paragraph" w:styleId="TOC2">
    <w:name w:val="toc 2"/>
    <w:basedOn w:val="TOC1"/>
    <w:pPr>
      <w:tabs>
        <w:tab w:val="left" w:pos="1440" w:leader="none"/>
        <w:tab w:val="right" w:pos="9360" w:leader="dot"/>
      </w:tabs>
      <w:ind w:hanging="720" w:start="1440" w:end="1440"/>
    </w:pPr>
    <w:rPr/>
  </w:style>
  <w:style w:type="paragraph" w:styleId="TOC3">
    <w:name w:val="toc 3"/>
    <w:basedOn w:val="TOC2"/>
    <w:pPr>
      <w:tabs>
        <w:tab w:val="left" w:pos="1440" w:leader="none"/>
        <w:tab w:val="left" w:pos="2160" w:leader="none"/>
        <w:tab w:val="right" w:pos="9360" w:leader="dot"/>
      </w:tabs>
      <w:ind w:hanging="720" w:start="2160" w:end="1440"/>
    </w:pPr>
    <w:rPr/>
  </w:style>
  <w:style w:type="paragraph" w:styleId="TOC4">
    <w:name w:val="toc 4"/>
    <w:basedOn w:val="TOC3"/>
    <w:pPr>
      <w:tabs>
        <w:tab w:val="left" w:pos="1440" w:leader="none"/>
        <w:tab w:val="left" w:pos="2160" w:leader="none"/>
        <w:tab w:val="left" w:pos="2880" w:leader="none"/>
        <w:tab w:val="right" w:pos="9360" w:leader="dot"/>
      </w:tabs>
      <w:ind w:hanging="720" w:start="2880" w:end="1440"/>
    </w:pPr>
    <w:rPr/>
  </w:style>
  <w:style w:type="paragraph" w:styleId="TOC5">
    <w:name w:val="toc 5"/>
    <w:basedOn w:val="TOC4"/>
    <w:pPr>
      <w:tabs>
        <w:tab w:val="left" w:pos="1440" w:leader="none"/>
        <w:tab w:val="left" w:pos="2160" w:leader="none"/>
        <w:tab w:val="left" w:pos="2880" w:leader="none"/>
        <w:tab w:val="left" w:pos="3600" w:leader="none"/>
        <w:tab w:val="right" w:pos="9360" w:leader="dot"/>
      </w:tabs>
      <w:ind w:hanging="720" w:start="3600" w:end="1440"/>
    </w:pPr>
    <w:rPr/>
  </w:style>
  <w:style w:type="paragraph" w:styleId="TOC6">
    <w:name w:val="toc 6"/>
    <w:basedOn w:val="TOC5"/>
    <w:next w:val="Normal"/>
    <w:pPr>
      <w:tabs>
        <w:tab w:val="left" w:pos="1440" w:leader="none"/>
        <w:tab w:val="left" w:pos="2160" w:leader="none"/>
        <w:tab w:val="left" w:pos="2880" w:leader="none"/>
        <w:tab w:val="left" w:pos="3600" w:leader="none"/>
        <w:tab w:val="left" w:pos="4320" w:leader="none"/>
        <w:tab w:val="right" w:pos="9360" w:leader="dot"/>
      </w:tabs>
      <w:ind w:hanging="720" w:start="4320" w:end="1440"/>
    </w:pPr>
    <w:rPr/>
  </w:style>
  <w:style w:type="paragraph" w:styleId="HeaderandFooter">
    <w:name w:val="Header and Footer"/>
    <w:basedOn w:val="Normal"/>
    <w:qFormat/>
    <w:pPr>
      <w:suppressLineNumbers/>
      <w:tabs>
        <w:tab w:val="clear" w:pos="720"/>
        <w:tab w:val="clear" w:pos="1440"/>
        <w:tab w:val="clear" w:pos="2160"/>
        <w:tab w:val="clear" w:pos="5040"/>
        <w:tab w:val="center" w:pos="4986" w:leader="none"/>
        <w:tab w:val="right" w:pos="9972" w:leader="none"/>
      </w:tabs>
    </w:pPr>
    <w:rPr/>
  </w:style>
  <w:style w:type="paragraph" w:styleId="Footer">
    <w:name w:val="footer"/>
    <w:basedOn w:val="Normal"/>
    <w:pPr/>
    <w:rPr/>
  </w:style>
  <w:style w:type="paragraph" w:styleId="FootnoteText">
    <w:name w:val="footnote text"/>
    <w:basedOn w:val="Normal"/>
    <w:pPr>
      <w:spacing w:before="0" w:after="120"/>
      <w:ind w:hanging="720" w:start="720" w:end="0"/>
    </w:pPr>
    <w:rPr/>
  </w:style>
  <w:style w:type="paragraph" w:styleId="CenteredSM">
    <w:name w:val="Centered/SM"/>
    <w:basedOn w:val="Normal"/>
    <w:next w:val="Double"/>
    <w:qFormat/>
    <w:pPr>
      <w:keepNext w:val="true"/>
      <w:spacing w:before="0" w:after="120"/>
      <w:ind w:hanging="0" w:start="1440" w:end="1440"/>
      <w:jc w:val="center"/>
    </w:pPr>
    <w:rPr>
      <w:rFonts w:ascii="CG Times Bold;Times New Roman" w:hAnsi="CG Times Bold;Times New Roman" w:cs="CG Times Bold;Times New Roman"/>
      <w:b/>
      <w:smallCaps/>
    </w:rPr>
  </w:style>
  <w:style w:type="paragraph" w:styleId="CenteredHdg">
    <w:name w:val="CenteredHdg."/>
    <w:basedOn w:val="Normal"/>
    <w:next w:val="Double"/>
    <w:qFormat/>
    <w:pPr>
      <w:keepNext w:val="true"/>
      <w:spacing w:before="0" w:after="120"/>
      <w:ind w:hanging="0" w:start="1440" w:end="1440"/>
      <w:jc w:val="center"/>
    </w:pPr>
    <w:rPr>
      <w:rFonts w:ascii="CG Times Bold;Times New Roman" w:hAnsi="CG Times Bold;Times New Roman" w:cs="CG Times Bold;Times New Roman"/>
      <w:b/>
      <w:caps/>
    </w:rPr>
  </w:style>
  <w:style w:type="paragraph" w:styleId="Header">
    <w:name w:val="header"/>
    <w:basedOn w:val="Normal"/>
    <w:pPr/>
    <w:rPr/>
  </w:style>
  <w:style w:type="paragraph" w:styleId="DoubleLine">
    <w:name w:val="DoubleLine"/>
    <w:basedOn w:val="Normal"/>
    <w:next w:val="Normal"/>
    <w:qFormat/>
    <w:pPr>
      <w:tabs>
        <w:tab w:val="clear" w:pos="720"/>
        <w:tab w:val="clear" w:pos="1440"/>
        <w:tab w:val="clear" w:pos="2160"/>
        <w:tab w:val="clear" w:pos="5040"/>
        <w:tab w:val="right" w:pos="9360" w:leader="none"/>
      </w:tabs>
    </w:pPr>
    <w:rPr>
      <w:rFonts w:ascii="Calisto MT;Book Antiqua" w:hAnsi="Calisto MT;Book Antiqua" w:cs="Calisto MT;Book Antiqua"/>
      <w:u w:val="double"/>
    </w:rPr>
  </w:style>
  <w:style w:type="paragraph" w:styleId="QuoteFootnote">
    <w:name w:val="QuoteFootnote"/>
    <w:basedOn w:val="FootnoteText"/>
    <w:next w:val="FootnoteText"/>
    <w:qFormat/>
    <w:pPr>
      <w:ind w:hanging="0" w:start="1440" w:end="720"/>
    </w:pPr>
    <w:rPr/>
  </w:style>
  <w:style w:type="paragraph" w:styleId="Separator">
    <w:name w:val="Separator"/>
    <w:basedOn w:val="Normal"/>
    <w:qFormat/>
    <w:pPr/>
    <w:rPr/>
  </w:style>
  <w:style w:type="paragraph" w:styleId="Subsection">
    <w:name w:val="Subsection"/>
    <w:basedOn w:val="QuoteIndent"/>
    <w:next w:val="Double"/>
    <w:qFormat/>
    <w:pPr>
      <w:keepNext w:val="true"/>
      <w:spacing w:before="120" w:after="120"/>
    </w:pPr>
    <w:rPr>
      <w:b/>
    </w:rPr>
  </w:style>
  <w:style w:type="paragraph" w:styleId="TableofAuthorities">
    <w:name w:val="Table of Authorities"/>
    <w:basedOn w:val="Normal"/>
    <w:next w:val="Normal"/>
    <w:qFormat/>
    <w:pPr>
      <w:keepLines/>
      <w:tabs>
        <w:tab w:val="left" w:pos="720" w:leader="none"/>
        <w:tab w:val="left" w:pos="1440" w:leader="none"/>
        <w:tab w:val="left" w:pos="2160" w:leader="none"/>
        <w:tab w:val="left" w:pos="5040" w:leader="none"/>
        <w:tab w:val="right" w:pos="9360" w:leader="dot"/>
      </w:tabs>
      <w:spacing w:before="0" w:after="240"/>
      <w:ind w:hanging="720" w:start="720" w:end="1440"/>
    </w:pPr>
    <w:rPr/>
  </w:style>
  <w:style w:type="paragraph" w:styleId="TOAHeading">
    <w:name w:val="TOA Heading"/>
    <w:basedOn w:val="Normal"/>
    <w:next w:val="TableofAuthorities"/>
    <w:qFormat/>
    <w:pPr>
      <w:keepNext w:val="true"/>
      <w:spacing w:before="0" w:after="240"/>
      <w:jc w:val="center"/>
    </w:pPr>
    <w:rPr>
      <w:rFonts w:ascii="CG Times Bold;Times New Roman" w:hAnsi="CG Times Bold;Times New Roman" w:cs="CG Times Bold;Times New Roman"/>
      <w:b/>
    </w:rPr>
  </w:style>
  <w:style w:type="paragraph" w:styleId="TOC7">
    <w:name w:val="toc 7"/>
    <w:basedOn w:val="TOC6"/>
    <w:pPr>
      <w:tabs>
        <w:tab w:val="left" w:pos="1440" w:leader="none"/>
        <w:tab w:val="left" w:pos="2160" w:leader="none"/>
        <w:tab w:val="left" w:pos="2880" w:leader="none"/>
        <w:tab w:val="left" w:pos="3600" w:leader="none"/>
        <w:tab w:val="left" w:pos="4320" w:leader="none"/>
        <w:tab w:val="left" w:pos="5040" w:leader="none"/>
        <w:tab w:val="right" w:pos="9360" w:leader="dot"/>
      </w:tabs>
      <w:ind w:hanging="720" w:start="5040" w:end="1440"/>
    </w:pPr>
    <w:rPr/>
  </w:style>
  <w:style w:type="paragraph" w:styleId="TOC8">
    <w:name w:val="toc 8"/>
    <w:basedOn w:val="TOC7"/>
    <w:next w:val="Normal"/>
    <w:pPr>
      <w:tabs>
        <w:tab w:val="left" w:pos="1440" w:leader="none"/>
        <w:tab w:val="left" w:pos="2160" w:leader="none"/>
        <w:tab w:val="left" w:pos="2880" w:leader="none"/>
        <w:tab w:val="left" w:pos="3600" w:leader="none"/>
        <w:tab w:val="left" w:pos="4320" w:leader="none"/>
        <w:tab w:val="left" w:pos="5040" w:leader="none"/>
        <w:tab w:val="left" w:pos="5760" w:leader="none"/>
        <w:tab w:val="right" w:pos="9360" w:leader="dot"/>
      </w:tabs>
      <w:ind w:hanging="720" w:start="5760" w:end="1440"/>
    </w:pPr>
    <w:rPr/>
  </w:style>
  <w:style w:type="paragraph" w:styleId="TOC9">
    <w:name w:val="toc 9"/>
    <w:basedOn w:val="TOC8"/>
    <w:p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9360" w:leader="dot"/>
      </w:tabs>
      <w:ind w:hanging="720" w:start="6480" w:end="14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Pleading--DCA.dot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2001-06-22T19:49:00Z</dcterms:created>
  <dc:creator>Paul Savage</dc:creator>
  <dc:description/>
  <dc:language>en-CA</dc:language>
  <cp:lastModifiedBy>Barbara Augenblick</cp:lastModifiedBy>
  <cp:lastPrinted>2001-06-22T14:49:00Z</cp:lastPrinted>
  <dcterms:modified xsi:type="dcterms:W3CDTF">2001-06-22T19:49:00Z</dcterms:modified>
  <cp:revision>2</cp:revision>
  <dc:subject/>
  <dc:title>WINSTON/MOTION TO EXPEDITE APPEAL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\\MIA-SRV01\SAVAGEP\1316997v01\S87901!.DOC\6/11/01\42292.010300</vt:lpwstr>
  </property>
</Properties>
</file>