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Top"/>
        <w:rPr/>
      </w:pPr>
      <w:r>
        <w:rPr/>
        <w:t>Greenberg Traurig</w:t>
      </w:r>
    </w:p>
    <w:p>
      <w:pPr>
        <w:pStyle w:val="MemoTop2"/>
        <w:rPr/>
      </w:pPr>
      <w:r>
        <w:rPr/>
        <w:t>Memorandum</w:t>
      </w:r>
    </w:p>
    <w:p>
      <w:pPr>
        <w:pStyle w:val="TopLabel"/>
        <w:rPr/>
      </w:pPr>
      <w:r>
        <w:rPr/>
        <w:tab/>
      </w:r>
      <w:r>
        <w:rPr>
          <w:b/>
        </w:rPr>
        <w:t>To</w:t>
      </w:r>
      <w:r>
        <w:rPr/>
        <w:tab/>
      </w:r>
      <w:bookmarkStart w:id="0" w:name="bmCC"/>
      <w:bookmarkStart w:id="1" w:name="bmTo"/>
      <w:bookmarkEnd w:id="0"/>
      <w:bookmarkEnd w:id="1"/>
      <w:r>
        <w:rPr/>
        <w:t>Steven Krimsky, Debbie M. Orshefsky, Kerri L. Barsh</w:t>
      </w:r>
    </w:p>
    <w:p>
      <w:pPr>
        <w:pStyle w:val="TopLabel"/>
        <w:rPr/>
      </w:pPr>
      <w:r>
        <w:rPr/>
        <w:tab/>
      </w:r>
      <w:r>
        <w:rPr>
          <w:b/>
        </w:rPr>
        <w:t>From</w:t>
      </w:r>
      <w:r>
        <w:rPr/>
        <w:tab/>
      </w:r>
      <w:bookmarkStart w:id="2" w:name="bmFrom"/>
      <w:bookmarkEnd w:id="2"/>
      <w:r>
        <w:rPr/>
        <w:t>Paul C. Savage</w:t>
      </w:r>
    </w:p>
    <w:p>
      <w:pPr>
        <w:pStyle w:val="TopLabel"/>
        <w:rPr/>
      </w:pPr>
      <w:r>
        <w:rPr/>
        <w:tab/>
      </w:r>
      <w:r>
        <w:rPr>
          <w:b/>
        </w:rPr>
        <w:t>Date</w:t>
      </w:r>
      <w:r>
        <w:rPr/>
        <w:tab/>
      </w:r>
      <w:bookmarkStart w:id="3" w:name="bmPriority"/>
      <w:bookmarkStart w:id="4" w:name="bmDate"/>
      <w:bookmarkEnd w:id="3"/>
      <w:bookmarkEnd w:id="4"/>
      <w:r>
        <w:rPr/>
        <w:t>July 18, 2001</w:t>
      </w:r>
    </w:p>
    <w:p>
      <w:pPr>
        <w:pStyle w:val="TopLabel"/>
        <w:rPr/>
      </w:pPr>
      <w:r>
        <w:rPr/>
        <w:tab/>
      </w:r>
      <w:r>
        <w:rPr>
          <w:b/>
        </w:rPr>
        <w:t>Re</w:t>
      </w:r>
      <w:bookmarkStart w:id="5" w:name="bmRe"/>
      <w:bookmarkEnd w:id="5"/>
      <w:r>
        <w:rPr/>
        <w:tab/>
        <w:t>Enron Pompano/Deerfield Beach Energy Center DEP DOAH Litigation Procedural History</w:t>
      </w:r>
    </w:p>
    <w:p>
      <w:pPr>
        <w:pStyle w:val="TopLabel"/>
        <w:rPr/>
      </w:pPr>
      <w:r>
        <w:rPr/>
        <w:tab/>
      </w:r>
      <w:r>
        <w:rPr>
          <w:b/>
        </w:rPr>
        <w:t>File No.</w:t>
      </w:r>
      <w:r>
        <w:rPr/>
        <w:tab/>
        <w:t>42292.010300</w:t>
      </w:r>
    </w:p>
    <w:p>
      <w:pPr>
        <w:pStyle w:val="MemoLine"/>
        <w:rPr/>
      </w:pPr>
      <w:bookmarkStart w:id="6" w:name="bmBody"/>
      <w:bookmarkEnd w:id="6"/>
      <w:r>
        <w:rPr/>
        <w:tab/>
      </w:r>
    </w:p>
    <w:p>
      <w:pPr>
        <w:pStyle w:val="Normal"/>
        <w:spacing w:before="240" w:after="0"/>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DEP and DOAH Proceedings Re:  Pompano Beach</w:t>
      </w:r>
    </w:p>
    <w:p>
      <w:pPr>
        <w:pStyle w:val="Heading1"/>
        <w:spacing w:before="240" w:after="120"/>
        <w:ind w:hanging="0" w:start="0"/>
        <w:rPr/>
      </w:pPr>
      <w:r>
        <w:rPr/>
        <w:t>The Petitions Submitted to DEP.</w:t>
      </w:r>
    </w:p>
    <w:p>
      <w:pPr>
        <w:pStyle w:val="Normal"/>
        <w:rPr/>
      </w:pPr>
      <w:r>
        <w:rPr/>
        <w:tab/>
        <w:t>Margate, the City of Coral Springs and the City of Coconut Creek filed their original petitions for administrative hearing with the State of Florida, Department of Environmental Protection (DEP) on April 19 and April 24, 2001.  Broward County filed motions to intervene with DEP directed at each of the three petitions on May 8, 2001.</w:t>
      </w:r>
    </w:p>
    <w:p>
      <w:pPr>
        <w:pStyle w:val="Normal"/>
        <w:rPr/>
      </w:pPr>
      <w:r>
        <w:rPr/>
      </w:r>
    </w:p>
    <w:p>
      <w:pPr>
        <w:pStyle w:val="Normal"/>
        <w:rPr/>
      </w:pPr>
      <w:r>
        <w:rPr/>
        <w:tab/>
        <w:t>DEP indicated informally that it intended to dismiss the three petitions on grounds of procedural deficiency, but did not enter an order doing so.</w:t>
      </w:r>
    </w:p>
    <w:p>
      <w:pPr>
        <w:pStyle w:val="Normal"/>
        <w:rPr/>
      </w:pPr>
      <w:r>
        <w:rPr/>
      </w:r>
    </w:p>
    <w:p>
      <w:pPr>
        <w:pStyle w:val="Normal"/>
        <w:rPr/>
      </w:pPr>
      <w:r>
        <w:rPr/>
        <w:tab/>
        <w:t>On May 9, 2001 Pompano Beach Energy Center filed motions to dismiss directed at each of the three municipalities’ petitions, as it was required to do by rule.</w:t>
      </w:r>
    </w:p>
    <w:p>
      <w:pPr>
        <w:pStyle w:val="Normal"/>
        <w:rPr/>
      </w:pPr>
      <w:r>
        <w:rPr/>
      </w:r>
    </w:p>
    <w:p>
      <w:pPr>
        <w:pStyle w:val="Normal"/>
        <w:rPr/>
      </w:pPr>
      <w:r>
        <w:rPr/>
        <w:tab/>
        <w:t xml:space="preserve">On May 21, 2001 DEP acted as it had indicated and dismissed the three petitions on grounds of deficiency of pleading, with three orders.  The orders of May 21 do not mention Pompano Beach Energy Center’s pending motions to dismiss.  The DEP orders allowed the municipalities fifteen days within which to submit amended petitions.  The three municipalities were required by the order to submit amended petitions that worked to cure the deficiencies identified by the DEP, and to include those components required by the administrative rules for all petitions for formal administrative hearing.  </w:t>
      </w:r>
    </w:p>
    <w:p>
      <w:pPr>
        <w:pStyle w:val="Heading1"/>
        <w:spacing w:before="240" w:after="120"/>
        <w:ind w:hanging="0" w:start="0"/>
        <w:rPr/>
      </w:pPr>
      <w:r>
        <w:rPr/>
        <w:t>The Amended Petitions Submitted to DEP.</w:t>
      </w:r>
    </w:p>
    <w:p>
      <w:pPr>
        <w:pStyle w:val="Normal"/>
        <w:rPr/>
      </w:pPr>
      <w:r>
        <w:rPr/>
        <w:tab/>
        <w:t>Exactly fifteen days from the DEP orders, the three municipalities submitted amended petitions on June 5, 2001.</w:t>
      </w:r>
    </w:p>
    <w:p>
      <w:pPr>
        <w:pStyle w:val="Normal"/>
        <w:rPr/>
      </w:pPr>
      <w:r>
        <w:rPr/>
      </w:r>
    </w:p>
    <w:p>
      <w:pPr>
        <w:pStyle w:val="Normal"/>
        <w:rPr/>
      </w:pPr>
      <w:r>
        <w:rPr/>
        <w:tab/>
        <w:t>Pompano Beach Energy Center’s motions to dismiss the amended petitions of June 5 were due twenty days later on June 26.  On June 22, Pompano Beach Energy Center submitted motions to dismiss directed at each of the three municipalities’ amended petitions.</w:t>
      </w:r>
    </w:p>
    <w:p>
      <w:pPr>
        <w:pStyle w:val="Heading1"/>
        <w:spacing w:before="240" w:after="120"/>
        <w:ind w:hanging="0" w:start="0"/>
        <w:rPr/>
      </w:pPr>
      <w:r>
        <w:rPr/>
        <w:t>The Second and Third Amended Petitions Submitted to DEP.</w:t>
      </w:r>
    </w:p>
    <w:p>
      <w:pPr>
        <w:pStyle w:val="Normal"/>
        <w:rPr/>
      </w:pPr>
      <w:r>
        <w:rPr/>
        <w:tab/>
        <w:t xml:space="preserve">Before any DEP ruling on the pending motions to dismiss the amended petitions, all three municipalities, on June 29, 2001 submitted </w:t>
      </w:r>
      <w:r>
        <w:rPr>
          <w:i/>
          <w:iCs/>
        </w:rPr>
        <w:t xml:space="preserve">second </w:t>
      </w:r>
      <w:r>
        <w:rPr/>
        <w:t xml:space="preserve">amended petitions for administrative hearing.  On July 2, the City of Margate submitted a </w:t>
      </w:r>
      <w:r>
        <w:rPr>
          <w:i/>
          <w:iCs/>
        </w:rPr>
        <w:t>third</w:t>
      </w:r>
      <w:r>
        <w:rPr/>
        <w:t xml:space="preserve"> amended petition.</w:t>
      </w:r>
    </w:p>
    <w:p>
      <w:pPr>
        <w:pStyle w:val="Heading1"/>
        <w:spacing w:before="240" w:after="120"/>
        <w:ind w:hanging="0" w:start="0"/>
        <w:rPr/>
      </w:pPr>
      <w:r>
        <w:rPr/>
        <w:t>DEP Rulings on the Motions to Dismiss Petitions and on Broward’s Intervention.</w:t>
      </w:r>
    </w:p>
    <w:p>
      <w:pPr>
        <w:pStyle w:val="Normal"/>
        <w:rPr/>
      </w:pPr>
      <w:r>
        <w:rPr/>
        <w:tab/>
        <w:t>On June 28, 2001, DEP issued an order ruling on Pompano Beach Energy Center’s original motions to dismiss filed on May 9, 2001.  The June 28 order denies the May 9 motions to dismiss.  The DEP order also provides that the denial is without prejudice to the Pompano Beach Energy Center to re-file motions to dismiss in response to the June 5 amended petitions.</w:t>
      </w:r>
    </w:p>
    <w:p>
      <w:pPr>
        <w:pStyle w:val="Normal"/>
        <w:rPr/>
      </w:pPr>
      <w:r>
        <w:rPr/>
      </w:r>
    </w:p>
    <w:p>
      <w:pPr>
        <w:pStyle w:val="Normal"/>
        <w:rPr/>
      </w:pPr>
      <w:r>
        <w:rPr/>
        <w:tab/>
        <w:t>Because the rules require that a motion to dismiss be filed within twenty days of a given petition, motions to dismiss the amended petitions had already been filed on June 22, 2001.</w:t>
      </w:r>
    </w:p>
    <w:p>
      <w:pPr>
        <w:pStyle w:val="Normal"/>
        <w:rPr/>
      </w:pPr>
      <w:r>
        <w:rPr/>
      </w:r>
    </w:p>
    <w:p>
      <w:pPr>
        <w:pStyle w:val="Normal"/>
        <w:rPr/>
      </w:pPr>
      <w:r>
        <w:rPr/>
        <w:tab/>
        <w:t>On June 28, 2001 DEP ruled on the motion to intervene submitted by Broward County on May 8.  The motion to intervene was denied without prejudice to Broward County to re-file another motion to intervene based upon the amended petitions submitted on June 5, 2001.</w:t>
      </w:r>
    </w:p>
    <w:p>
      <w:pPr>
        <w:pStyle w:val="Normal"/>
        <w:rPr/>
      </w:pPr>
      <w:r>
        <w:rPr/>
      </w:r>
    </w:p>
    <w:p>
      <w:pPr>
        <w:pStyle w:val="Normal"/>
        <w:rPr/>
      </w:pPr>
      <w:r>
        <w:rPr/>
        <w:tab/>
        <w:t xml:space="preserve">Motions to dismiss directed at Coconut Creek’s and Coral Springs’ second amended petitions filed on June 29, 2001 are due within twenty days, or Thursday, July 19, 2001.  A motion to dismiss directed at Margate’s </w:t>
      </w:r>
      <w:r>
        <w:rPr>
          <w:i/>
          <w:iCs/>
        </w:rPr>
        <w:t xml:space="preserve">third </w:t>
      </w:r>
      <w:r>
        <w:rPr/>
        <w:t xml:space="preserve">amended petition is due on Monday, July 23, but we intend to file the motion on July 19 along with the motions directed at the </w:t>
      </w:r>
      <w:r>
        <w:rPr>
          <w:i/>
          <w:iCs/>
        </w:rPr>
        <w:t>second</w:t>
      </w:r>
      <w:r>
        <w:rPr/>
        <w:t xml:space="preserve"> amended petitions of Coconut Creek and Coral Springs.</w:t>
      </w:r>
    </w:p>
    <w:p>
      <w:pPr>
        <w:pStyle w:val="Heading1"/>
        <w:spacing w:before="240" w:after="120"/>
        <w:ind w:hanging="0" w:start="0"/>
        <w:rPr/>
      </w:pPr>
      <w:r>
        <w:rPr/>
        <w:t>DEP Request For Assignment of Administrative Law Judge and DOAH’s Initial Order.</w:t>
      </w:r>
    </w:p>
    <w:p>
      <w:pPr>
        <w:pStyle w:val="Normal"/>
        <w:rPr/>
      </w:pPr>
      <w:r>
        <w:rPr/>
        <w:tab/>
        <w:t xml:space="preserve">On July 3, 2001 DEP ruled that it had decided not to act as administrative law judge for purposes of ruling upon the second amended petitions, and requested that the case be assigned to an administrative law judge of the Division of Administrative Hearings (DOAH).  The DEP reserved in its request the right to object to any material defects in the petitions as well as the right to object to the municipalities’ lack of standing.  </w:t>
      </w:r>
    </w:p>
    <w:p>
      <w:pPr>
        <w:pStyle w:val="Normal"/>
        <w:rPr/>
      </w:pPr>
      <w:r>
        <w:rPr/>
      </w:r>
    </w:p>
    <w:p>
      <w:pPr>
        <w:pStyle w:val="Normal"/>
        <w:rPr/>
      </w:pPr>
      <w:r>
        <w:rPr/>
        <w:tab/>
        <w:t>On July 10, 2001 DOAH issued initial orders assigning the case to Administrative Law Judge Charles A. Stampelos.  The initial order requires DEP to coordinate with all parties and provide information concerning:  (1) any related cases pending before DEP or DOAH; (2) the estimated length of time necessary to conduct the final hearing; (3) a suggested geographic location for the final hearing; (4) all possible dates, more than 30 and less than 70 days from the date of the initial order during which time the parties are available to conduct the final hearing.  The order provides that if such information is not assembled, the parties will waive the right to request a certain venue, and the final hearing will be set in Tallahassee at a date and time established by DOAH.  We have been contacted by counsel for DEP about this information and the possibility of abating the DOAH proceedings in order to participate in mediation.  Counsel for DEP has indicated that the three municipalities have responded favorably and with interest to the idea of participating in mediation, and has requested a short extension within which to assemble the information required by the initial order.</w:t>
      </w:r>
    </w:p>
    <w:p>
      <w:pPr>
        <w:pStyle w:val="Normal"/>
        <w:rPr/>
      </w:pPr>
      <w:r>
        <w:rPr/>
      </w:r>
    </w:p>
    <w:p>
      <w:pPr>
        <w:pStyle w:val="Normal"/>
        <w:rPr/>
      </w:pPr>
      <w:r>
        <w:rPr/>
        <w:tab/>
        <w:t>Because an administrative law judge has been assigned to the proceeding, the three municipalities may not submit any further amended petitions without first obtaining permission from the administrative law judge.  Pleadings may no longer be submitted to DEP, and Broward County’s motion to intervene of July 11, 2001 was erroneously filed with DEP, one day after the initial order docketing the case in DOAH issued on July 10.  Broward County’s motion to intervene will not be entertained because it has been filed in the wrong forum, although it is expected that Broward County will re-file motions to intervene with DOAH, which motions will have to be addressed on the merits by Pompano Beach Energy Center.</w:t>
      </w:r>
    </w:p>
    <w:p>
      <w:pPr>
        <w:pStyle w:val="Normal"/>
        <w:rPr/>
      </w:pPr>
      <w:r>
        <w:rPr/>
      </w:r>
    </w:p>
    <w:p>
      <w:pPr>
        <w:pStyle w:val="Normal"/>
        <w:rPr/>
      </w:pPr>
      <w:r>
        <w:rPr/>
        <w:tab/>
        <w:t>Three motions to dismiss directed to the pending second and third amended petitions will be filed with DOAH tomorrow, July 19 by Pompano Beach Energy Center.</w:t>
      </w:r>
    </w:p>
    <w:p>
      <w:pPr>
        <w:pStyle w:val="Normal"/>
        <w:rPr/>
      </w:pPr>
      <w:r>
        <w:rPr/>
      </w:r>
    </w:p>
    <w:p>
      <w:pPr>
        <w:pStyle w:val="Heading1"/>
        <w:ind w:hanging="0" w:start="0"/>
        <w:rPr/>
      </w:pPr>
      <w:r>
        <w:rPr/>
        <w:t>Accessing DOAH Information.</w:t>
      </w:r>
    </w:p>
    <w:p>
      <w:pPr>
        <w:pStyle w:val="Normal"/>
        <w:rPr/>
      </w:pPr>
      <w:r>
        <w:rPr/>
        <w:tab/>
        <w:t xml:space="preserve">The case numbers docketed by DOAH for the consolidated proceedings are Case Nos. 01-2682, 01-2683 and 01-02684.  Case activity can be monitored by entering any of the case numbers into the “Case Search” section of the DOAH webpage found at www.doah.state.fl.us/internet/.  Some pleadings and all orders are available on the site in PDF format.  </w:t>
      </w:r>
    </w:p>
    <w:p>
      <w:pPr>
        <w:pStyle w:val="Normal"/>
        <w:rPr/>
      </w:pPr>
      <w:r>
        <w:rPr/>
      </w:r>
    </w:p>
    <w:p>
      <w:pPr>
        <w:pStyle w:val="Normal"/>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DEP and DOAH Proceedings Re: Deerfield Beach</w:t>
      </w:r>
    </w:p>
    <w:p>
      <w:pPr>
        <w:pStyle w:val="Normal"/>
        <w:spacing w:before="240" w:after="0"/>
        <w:rPr>
          <w:b/>
          <w:bCs/>
        </w:rPr>
      </w:pPr>
      <w:r>
        <w:rPr>
          <w:b/>
          <w:bCs/>
        </w:rPr>
        <w:t>I.</w:t>
        <w:tab/>
        <w:t>DEP Proceedings.</w:t>
      </w:r>
    </w:p>
    <w:p>
      <w:pPr>
        <w:pStyle w:val="Normal"/>
        <w:spacing w:before="240" w:after="0"/>
        <w:rPr/>
      </w:pPr>
      <w:r>
        <w:rPr/>
        <w:tab/>
        <w:t>On June 26 and June 27, 2001 the City of Coconut Creek, the City of Coral Springs and Broward County submitted petitions for administrative hearing with DEP.  DEP on July 12, 2001 submitted its request for the assignment of an administrative law judge by DOAH to each of the three cases.  DEP specifically reserved its right to object to any material defects in the petitions as well as to any petitioner’s lack of standing.</w:t>
      </w:r>
    </w:p>
    <w:p>
      <w:pPr>
        <w:pStyle w:val="Normal"/>
        <w:spacing w:before="240" w:after="0"/>
        <w:rPr>
          <w:b/>
          <w:bCs/>
        </w:rPr>
      </w:pPr>
      <w:r>
        <w:rPr>
          <w:b/>
          <w:bCs/>
        </w:rPr>
        <w:t>II.</w:t>
        <w:tab/>
        <w:t>DOAH Proceedings.</w:t>
      </w:r>
    </w:p>
    <w:p>
      <w:pPr>
        <w:pStyle w:val="Normal"/>
        <w:spacing w:before="240" w:after="0"/>
        <w:rPr/>
      </w:pPr>
      <w:r>
        <w:rPr/>
        <w:tab/>
        <w:t xml:space="preserve">The three cases were docketed by DOAH and were assigned to Administrative Law Judge Donald R. Alexander on July 13, 2001.  DEP is required by the initial order to obtain the necessary scheduling and venue information from the parties.  </w:t>
      </w:r>
    </w:p>
    <w:p>
      <w:pPr>
        <w:pStyle w:val="Normal"/>
        <w:spacing w:before="240" w:after="0"/>
        <w:rPr/>
      </w:pPr>
      <w:r>
        <w:rPr/>
        <w:tab/>
        <w:t>Because the three cases had been docketed that day by DOAH, Deerfield Beach Energy Center submitted its July 13, 2001 motions to dismiss directed at each of the three petitions to DOAH.  The DOAH case numbers associated with the Deerfield action are 01-2727, 01-2728 and 01-2729, and case information and filings may be monitored on the DOAH website as explained previously.</w:t>
      </w:r>
    </w:p>
    <w:p>
      <w:pPr>
        <w:pStyle w:val="Normal"/>
        <w:rPr/>
      </w:pPr>
      <w:r>
        <w:rPr/>
      </w:r>
    </w:p>
    <w:p>
      <w:pPr>
        <w:pStyle w:val="Normal"/>
        <w:rPr/>
      </w:pPr>
      <w:r>
        <w:rPr/>
        <w:tab/>
        <w:t>The City of Coral Springs, apparently unaware of the docketing of the case with DOAH, attempted to submit an amended petition for administrative hearing with the DEP on July 16, 2001.  If this amended petition is re-filed with DOAH, Deerfield Energy Center will submit a motion to strike this amended petition because once the case has been assigned an administrative law judge in DOAH, the rules provide that no amended petitions will be allowed without first obtaining permission from the administrative law judge.</w:t>
      </w:r>
    </w:p>
    <w:p>
      <w:pPr>
        <w:pStyle w:val="Normal"/>
        <w:rPr/>
      </w:pPr>
      <w:r>
        <w:rPr/>
      </w:r>
    </w:p>
    <w:p>
      <w:pPr>
        <w:pStyle w:val="Normal"/>
        <w:jc w:val="center"/>
        <w:rPr>
          <w:b/>
          <w:bCs/>
          <w:smallCaps/>
        </w:rPr>
      </w:pPr>
      <w:r>
        <w:rPr>
          <w:b/>
          <w:bCs/>
          <w:smallCaps/>
        </w:rPr>
        <w:t>Brief Overview of DOAH Proceedings</w:t>
      </w:r>
    </w:p>
    <w:p>
      <w:pPr>
        <w:pStyle w:val="Normal"/>
        <w:spacing w:before="240" w:after="0"/>
        <w:rPr/>
      </w:pPr>
      <w:r>
        <w:rPr/>
        <w:tab/>
        <w:t>Proceedings before DOAH are governed by Chapter 120 of the Florida Statutes and Chapter 28-106 of the Florida Administrative Code.  Administrative law judges are assigned to cases by DOAH based upon their expertise in a given field, according to the subject matter implicated by a subject controversy.  A DOAH proceeding is quasi-judicial, and the rules governing proceedings before DOAH contemplate the submission of an answer to the petition, various motions, intervention by other parties when appropriate, participation in discovery under the Florida Rules of Civil Procedure applicable to civil court actions, and the presentation of evidence.  The resulting final order is appealable to a district court of appeal, Florida’s intermediate appellate court.</w:t>
      </w:r>
    </w:p>
    <w:p>
      <w:pPr>
        <w:pStyle w:val="Normal"/>
        <w:spacing w:before="720" w:after="0"/>
        <w:rPr>
          <w:sz w:val="12"/>
        </w:rPr>
      </w:pPr>
      <w:bookmarkStart w:id="7" w:name="lpDocsInfo"/>
      <w:r>
        <w:rPr>
          <w:sz w:val="12"/>
        </w:rPr>
        <w:fldChar w:fldCharType="begin"/>
      </w:r>
      <w:r>
        <w:rPr>
          <w:sz w:val="12"/>
        </w:rPr>
        <w:instrText xml:space="preserve"> DOCPROPERTY "gtTagLine"</w:instrText>
      </w:r>
      <w:r>
        <w:rPr>
          <w:sz w:val="12"/>
        </w:rPr>
        <w:fldChar w:fldCharType="separate"/>
      </w:r>
      <w:r>
        <w:rPr>
          <w:sz w:val="12"/>
        </w:rPr>
        <w:t>\\MIA-SRV01\SAVAGEP\1323783v01\SDFR01!.DOC\7/11/01\42292.010300</w:t>
      </w:r>
      <w:r>
        <w:rPr>
          <w:sz w:val="12"/>
        </w:rPr>
        <w:fldChar w:fldCharType="end"/>
      </w:r>
      <w:bookmarkEnd w:id="7"/>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opLabel"/>
      <w:spacing w:before="0" w:after="0"/>
      <w:rPr/>
    </w:pPr>
    <w:r>
      <w:rPr/>
      <w:tab/>
    </w:r>
    <w:r>
      <w:rPr>
        <w:b/>
      </w:rPr>
      <w:t>To</w:t>
    </w:r>
    <w:r>
      <w:rPr/>
      <w:tab/>
      <w:t>Steven Krimsky</w:t>
    </w:r>
  </w:p>
  <w:p>
    <w:pPr>
      <w:pStyle w:val="TopLabel"/>
      <w:spacing w:before="0" w:after="0"/>
      <w:rPr/>
    </w:pPr>
    <w:r>
      <w:rPr/>
      <w:tab/>
    </w:r>
    <w:r>
      <w:rPr>
        <w:b/>
      </w:rPr>
      <w:t>Date</w:t>
    </w:r>
    <w:r>
      <w:rPr/>
      <w:tab/>
      <w:t>July 18, 2001</w:t>
    </w:r>
  </w:p>
  <w:p>
    <w:pPr>
      <w:pStyle w:val="TopLabel"/>
      <w:spacing w:before="0" w:after="0"/>
      <w:rPr/>
    </w:pPr>
    <w:r>
      <w:rPr/>
      <w:tab/>
    </w:r>
    <w:r>
      <w:rPr>
        <w:b/>
      </w:rPr>
      <w:t>Page</w:t>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jc w:val="both"/>
    </w:pPr>
    <w:rPr>
      <w:rFonts w:ascii="CG Times" w:hAnsi="CG Times" w:eastAsia="Times New Roman" w:cs="CG Times"/>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CG Times Bold;Times New Roman" w:hAnsi="CG Times Bold;Times New Roman" w:cs="CG Times Bold;Times New Roman"/>
      <w:b/>
    </w:rPr>
  </w:style>
  <w:style w:type="paragraph" w:styleId="Heading2">
    <w:name w:val="heading 2"/>
    <w:basedOn w:val="Heading1"/>
    <w:next w:val="Normal"/>
    <w:qFormat/>
    <w:pPr>
      <w:numPr>
        <w:ilvl w:val="1"/>
        <w:numId w:val="1"/>
      </w:numPr>
      <w:outlineLvl w:val="1"/>
    </w:pPr>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style>
  <w:style w:type="paragraph" w:styleId="Heading9">
    <w:name w:val="heading 9"/>
    <w:basedOn w:val="Heading8"/>
    <w:next w:val="Normal"/>
    <w:qFormat/>
    <w:pPr>
      <w:numPr>
        <w:ilvl w:val="8"/>
        <w:numId w:val="1"/>
      </w:numPr>
      <w:tabs>
        <w:tab w:val="left" w:pos="360" w:leader="none"/>
        <w:tab w:val="left" w:pos="720" w:leader="none"/>
        <w:tab w:val="left" w:pos="1440" w:leader="none"/>
        <w:tab w:val="left" w:pos="2160" w:leader="none"/>
        <w:tab w:val="left" w:pos="5040" w:leader="none"/>
      </w:tabs>
      <w:outlineLvl w:val="8"/>
    </w:pPr>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rFonts w:ascii="CG Times" w:hAnsi="CG Times" w:cs="CG Times"/>
      <w:sz w:val="24"/>
      <w:u w:val="non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TopLabel">
    <w:name w:val="Top Label"/>
    <w:basedOn w:val="Normal"/>
    <w:qFormat/>
    <w:pPr>
      <w:tabs>
        <w:tab w:val="clear" w:pos="720"/>
        <w:tab w:val="right" w:pos="1080" w:leader="none"/>
        <w:tab w:val="left" w:pos="1440" w:leader="none"/>
        <w:tab w:val="left" w:pos="2160" w:leader="none"/>
        <w:tab w:val="left" w:pos="5040" w:leader="none"/>
      </w:tabs>
      <w:spacing w:before="0" w:after="240"/>
      <w:ind w:hanging="1440" w:start="1440" w:end="0"/>
    </w:pPr>
    <w:rPr/>
  </w:style>
  <w:style w:type="paragraph" w:styleId="MemoTop">
    <w:name w:val="MemoTop"/>
    <w:basedOn w:val="Normal"/>
    <w:next w:val="MemoTop2"/>
    <w:qFormat/>
    <w:pPr>
      <w:spacing w:before="0" w:after="200"/>
      <w:ind w:hanging="0" w:start="720" w:end="0"/>
    </w:pPr>
    <w:rPr>
      <w:rFonts w:ascii="CG Times Bold;Times New Roman" w:hAnsi="CG Times Bold;Times New Roman" w:cs="CG Times Bold;Times New Roman"/>
      <w:b/>
      <w:sz w:val="48"/>
    </w:rPr>
  </w:style>
  <w:style w:type="paragraph" w:styleId="MemoTop2">
    <w:name w:val="MemoTop2"/>
    <w:basedOn w:val="MemoTop"/>
    <w:next w:val="TopLabel"/>
    <w:qFormat/>
    <w:pPr>
      <w:spacing w:before="0" w:after="680"/>
    </w:pPr>
    <w:rPr/>
  </w:style>
  <w:style w:type="paragraph" w:styleId="MemoLine">
    <w:name w:val="MemoLine"/>
    <w:next w:val="Normal"/>
    <w:qFormat/>
    <w:pPr>
      <w:widowControl/>
      <w:tabs>
        <w:tab w:val="clear" w:pos="720"/>
        <w:tab w:val="right" w:pos="9360" w:leader="none"/>
      </w:tabs>
      <w:overflowPunct w:val="false"/>
      <w:autoSpaceDE w:val="false"/>
      <w:bidi w:val="0"/>
      <w:textAlignment w:val="baseline"/>
    </w:pPr>
    <w:rPr>
      <w:rFonts w:ascii="Calisto MT" w:hAnsi="Calisto MT" w:eastAsia="Times New Roman" w:cs="Calisto MT"/>
      <w:color w:val="auto"/>
      <w:sz w:val="24"/>
      <w:szCs w:val="20"/>
      <w:u w:val="double"/>
      <w:lang w:val="en-US" w:bidi="ar-SA" w:eastAsia="zh-CN"/>
    </w:rPr>
  </w:style>
  <w:style w:type="paragraph" w:styleId="DoubleLine">
    <w:name w:val="DoubleLine"/>
    <w:basedOn w:val="Normal"/>
    <w:next w:val="Normal"/>
    <w:qFormat/>
    <w:pPr>
      <w:tabs>
        <w:tab w:val="left" w:pos="720" w:leader="none"/>
        <w:tab w:val="left" w:pos="1440" w:leader="none"/>
        <w:tab w:val="left" w:pos="2160" w:leader="none"/>
        <w:tab w:val="left" w:pos="5040" w:leader="none"/>
        <w:tab w:val="right" w:pos="9360" w:leader="none"/>
      </w:tabs>
    </w:pPr>
    <w:rPr>
      <w:rFonts w:ascii="Calisto MT" w:hAnsi="Calisto MT" w:cs="Calisto MT"/>
      <w:u w:val="double"/>
    </w:rPr>
  </w:style>
  <w:style w:type="paragraph" w:styleId="QuoteIndent">
    <w:name w:val="QuoteIndent"/>
    <w:basedOn w:val="Normal"/>
    <w:next w:val="Normal"/>
    <w:qFormat/>
    <w:pPr>
      <w:ind w:hanging="0" w:start="720" w:end="720"/>
    </w:pPr>
    <w:rPr/>
  </w:style>
  <w:style w:type="paragraph" w:styleId="CenteredSM">
    <w:name w:val="Centered/SM"/>
    <w:basedOn w:val="Normal"/>
    <w:next w:val="Normal"/>
    <w:qFormat/>
    <w:pPr>
      <w:keepNext w:val="true"/>
      <w:tabs>
        <w:tab w:val="clear" w:pos="720"/>
        <w:tab w:val="clear" w:pos="1440"/>
        <w:tab w:val="clear" w:pos="2160"/>
        <w:tab w:val="clear" w:pos="5040"/>
      </w:tabs>
      <w:spacing w:before="0" w:after="120"/>
      <w:ind w:hanging="0" w:start="1440" w:end="1440"/>
      <w:jc w:val="center"/>
    </w:pPr>
    <w:rPr>
      <w:rFonts w:ascii="CG Times Bold;Times New Roman" w:hAnsi="CG Times Bold;Times New Roman" w:cs="CG Times Bold;Times New Roman"/>
      <w:b/>
      <w:smallCaps/>
    </w:rPr>
  </w:style>
  <w:style w:type="paragraph" w:styleId="QuoteFootnote">
    <w:name w:val="QuoteFootnote"/>
    <w:basedOn w:val="FootnoteText"/>
    <w:next w:val="FootnoteText"/>
    <w:qFormat/>
    <w:pPr>
      <w:ind w:hanging="0" w:start="144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PCS Memo without Logo.dot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2001-07-18T16:40:00Z</dcterms:created>
  <dc:creator>Barbara Augenblick</dc:creator>
  <dc:description/>
  <dc:language>en-CA</dc:language>
  <cp:lastModifiedBy>Paul Savage</cp:lastModifiedBy>
  <cp:lastPrinted>2001-07-18T14:59:00Z</cp:lastPrinted>
  <dcterms:modified xsi:type="dcterms:W3CDTF">2001-07-18T16:40:00Z</dcterms:modified>
  <cp:revision>2</cp:revision>
  <dc:subject/>
  <dc:title>SHELL/AJE MEMO (W/O LOGO)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\\MIA-SRV01\SAVAGEP\1323783v01\SDFR01!.DOC\7/11/01\42292.010300</vt:lpwstr>
  </property>
</Properties>
</file>