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emoTop"/>
        <w:rPr/>
      </w:pPr>
      <w:r>
        <w:rPr/>
        <w:t>Greenberg Traurig</w:t>
      </w:r>
    </w:p>
    <w:p>
      <w:pPr>
        <w:pStyle w:val="MemoTop2"/>
        <w:rPr/>
      </w:pPr>
      <w:r>
        <w:rPr/>
        <w:t>Memorandum</w:t>
      </w:r>
    </w:p>
    <w:p>
      <w:pPr>
        <w:pStyle w:val="TopLabel"/>
        <w:rPr/>
      </w:pPr>
      <w:r>
        <w:rPr/>
        <w:tab/>
      </w:r>
      <w:r>
        <w:rPr>
          <w:b/>
        </w:rPr>
        <w:t>To</w:t>
      </w:r>
      <w:r>
        <w:rPr/>
        <w:tab/>
      </w:r>
      <w:bookmarkStart w:id="0" w:name="bmCC"/>
      <w:bookmarkStart w:id="1" w:name="bmTo"/>
      <w:bookmarkEnd w:id="0"/>
      <w:bookmarkEnd w:id="1"/>
      <w:r>
        <w:rPr/>
        <w:t>Steven Krimsky, Debbie M. Orshefsky, Kerri L. Barsh</w:t>
      </w:r>
    </w:p>
    <w:p>
      <w:pPr>
        <w:pStyle w:val="TopLabel"/>
        <w:rPr/>
      </w:pPr>
      <w:r>
        <w:rPr/>
        <w:tab/>
      </w:r>
      <w:r>
        <w:rPr>
          <w:b/>
        </w:rPr>
        <w:t>From</w:t>
      </w:r>
      <w:r>
        <w:rPr/>
        <w:tab/>
      </w:r>
      <w:bookmarkStart w:id="2" w:name="bmFrom"/>
      <w:bookmarkEnd w:id="2"/>
      <w:r>
        <w:rPr/>
        <w:t>Paul C. Savage</w:t>
      </w:r>
    </w:p>
    <w:p>
      <w:pPr>
        <w:pStyle w:val="TopLabel"/>
        <w:rPr/>
      </w:pPr>
      <w:r>
        <w:rPr/>
        <w:tab/>
      </w:r>
      <w:r>
        <w:rPr>
          <w:b/>
        </w:rPr>
        <w:t>Date</w:t>
      </w:r>
      <w:r>
        <w:rPr/>
        <w:tab/>
      </w:r>
      <w:bookmarkStart w:id="3" w:name="bmPriority"/>
      <w:bookmarkStart w:id="4" w:name="bmDate"/>
      <w:bookmarkEnd w:id="3"/>
      <w:bookmarkEnd w:id="4"/>
      <w:r>
        <w:rPr/>
        <w:t>July 11, 2001</w:t>
      </w:r>
    </w:p>
    <w:p>
      <w:pPr>
        <w:pStyle w:val="TopLabel"/>
        <w:rPr/>
      </w:pPr>
      <w:r>
        <w:rPr/>
        <w:tab/>
      </w:r>
      <w:r>
        <w:rPr>
          <w:b/>
        </w:rPr>
        <w:t>Re</w:t>
      </w:r>
      <w:bookmarkStart w:id="5" w:name="bmRe"/>
      <w:bookmarkEnd w:id="5"/>
      <w:r>
        <w:rPr/>
        <w:tab/>
        <w:t>Enron Pompano/Deerfield Beach Energy Center DEP Litigation Procedural History</w:t>
      </w:r>
    </w:p>
    <w:p>
      <w:pPr>
        <w:pStyle w:val="TopLabel"/>
        <w:rPr/>
      </w:pPr>
      <w:r>
        <w:rPr/>
        <w:tab/>
      </w:r>
      <w:r>
        <w:rPr>
          <w:b/>
        </w:rPr>
        <w:t>File No.</w:t>
      </w:r>
      <w:r>
        <w:rPr/>
        <w:tab/>
        <w:t>42292.010300</w:t>
      </w:r>
    </w:p>
    <w:p>
      <w:pPr>
        <w:pStyle w:val="MemoLine"/>
        <w:rPr/>
      </w:pPr>
      <w:bookmarkStart w:id="6" w:name="bmBody"/>
      <w:bookmarkEnd w:id="6"/>
      <w:r>
        <w:rPr/>
        <w:tab/>
      </w:r>
    </w:p>
    <w:p>
      <w:pPr>
        <w:pStyle w:val="Normal"/>
        <w:spacing w:before="240" w:after="0"/>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Pompano Beach</w:t>
      </w:r>
    </w:p>
    <w:p>
      <w:pPr>
        <w:pStyle w:val="Heading1"/>
        <w:spacing w:before="240" w:after="120"/>
        <w:ind w:hanging="0" w:start="0"/>
        <w:rPr/>
      </w:pPr>
      <w:r>
        <w:rPr/>
        <w:t>The Petitions.</w:t>
      </w:r>
    </w:p>
    <w:p>
      <w:pPr>
        <w:pStyle w:val="Normal"/>
        <w:rPr/>
      </w:pPr>
      <w:r>
        <w:rPr/>
        <w:tab/>
        <w:t>Margate, the City of Coral Springs and the City of Coconut Creek filed their original petitions for administrative hearing on April 19 and April 24, 2001.  Broward County filed motions to intervene directed at each of the three petitions on May 8, 2001.</w:t>
      </w:r>
    </w:p>
    <w:p>
      <w:pPr>
        <w:pStyle w:val="Normal"/>
        <w:rPr/>
      </w:pPr>
      <w:r>
        <w:rPr/>
      </w:r>
    </w:p>
    <w:p>
      <w:pPr>
        <w:pStyle w:val="Normal"/>
        <w:rPr/>
      </w:pPr>
      <w:r>
        <w:rPr/>
        <w:tab/>
        <w:t>DEP indicated informally that it intended to dismiss the three petitions on grounds of procedural deficiency, but did not enter an order doing so.</w:t>
      </w:r>
    </w:p>
    <w:p>
      <w:pPr>
        <w:pStyle w:val="Normal"/>
        <w:rPr/>
      </w:pPr>
      <w:r>
        <w:rPr/>
      </w:r>
    </w:p>
    <w:p>
      <w:pPr>
        <w:pStyle w:val="Normal"/>
        <w:rPr/>
      </w:pPr>
      <w:r>
        <w:rPr/>
        <w:tab/>
        <w:t>On May 9, 2001 Pompano Beach Energy Center filed motions to dismiss directed at each of the three municipalities’ petitions.</w:t>
      </w:r>
    </w:p>
    <w:p>
      <w:pPr>
        <w:pStyle w:val="Normal"/>
        <w:rPr/>
      </w:pPr>
      <w:r>
        <w:rPr/>
      </w:r>
    </w:p>
    <w:p>
      <w:pPr>
        <w:pStyle w:val="Normal"/>
        <w:rPr/>
      </w:pPr>
      <w:r>
        <w:rPr/>
        <w:tab/>
        <w:t>On May 21, 2001 DEP acted as it had indicated and dismissed the three petitions on grounds of deficiency of pleading with three orders.  The orders of May 21 do not mention Pompano Beach Energy Center’s pending motions to dismiss.  The DEP orders allowed the municipalities fifteen days within which to submit amended petitions.</w:t>
      </w:r>
    </w:p>
    <w:p>
      <w:pPr>
        <w:pStyle w:val="Heading1"/>
        <w:spacing w:before="240" w:after="120"/>
        <w:ind w:hanging="0" w:start="0"/>
        <w:rPr/>
      </w:pPr>
      <w:r>
        <w:rPr/>
        <w:t>The Amended Petitions.</w:t>
      </w:r>
    </w:p>
    <w:p>
      <w:pPr>
        <w:pStyle w:val="Normal"/>
        <w:rPr/>
      </w:pPr>
      <w:r>
        <w:rPr/>
        <w:tab/>
        <w:t>Exactly fifteen days from the DEP orders, the three municipalities submitted amended petitions on June 5, 2001.</w:t>
      </w:r>
    </w:p>
    <w:p>
      <w:pPr>
        <w:pStyle w:val="Normal"/>
        <w:rPr/>
      </w:pPr>
      <w:r>
        <w:rPr/>
      </w:r>
    </w:p>
    <w:p>
      <w:pPr>
        <w:pStyle w:val="Normal"/>
        <w:rPr/>
      </w:pPr>
      <w:r>
        <w:rPr/>
        <w:tab/>
        <w:t>Pompano Beach Energy Center’s motions to dismiss the amended petitions of June 5 were due twenty days later on June 26.  On June 22, Pompano Beach Energy Center submitted motions to dismiss directed at each of the three municipalities’ amended petitions.</w:t>
      </w:r>
    </w:p>
    <w:p>
      <w:pPr>
        <w:pStyle w:val="Heading1"/>
        <w:spacing w:before="240" w:after="120"/>
        <w:ind w:hanging="0" w:start="0"/>
        <w:rPr/>
      </w:pPr>
      <w:r>
        <w:rPr/>
        <w:t>The Second and Third Amended Petitions.</w:t>
      </w:r>
    </w:p>
    <w:p>
      <w:pPr>
        <w:pStyle w:val="Normal"/>
        <w:rPr/>
      </w:pPr>
      <w:r>
        <w:rPr/>
        <w:tab/>
        <w:t xml:space="preserve">Before any DEP ruling on the pending motions to dismiss the amended petitions, all three municipalities on June 29, 2001 submitted </w:t>
      </w:r>
      <w:r>
        <w:rPr>
          <w:i/>
          <w:iCs/>
        </w:rPr>
        <w:t xml:space="preserve">second </w:t>
      </w:r>
      <w:r>
        <w:rPr/>
        <w:t xml:space="preserve">amended petitions for administrative hearing.  On July 2, the City of Margate submitted a </w:t>
      </w:r>
      <w:r>
        <w:rPr>
          <w:i/>
          <w:iCs/>
        </w:rPr>
        <w:t>third</w:t>
      </w:r>
      <w:r>
        <w:rPr/>
        <w:t xml:space="preserve"> amended petition.</w:t>
      </w:r>
    </w:p>
    <w:p>
      <w:pPr>
        <w:pStyle w:val="Heading1"/>
        <w:spacing w:before="240" w:after="120"/>
        <w:ind w:hanging="0" w:start="0"/>
        <w:rPr/>
      </w:pPr>
      <w:r>
        <w:rPr/>
        <w:t>DEP Rulings on Motions to Dismiss Petitions and Broward Intervention.</w:t>
      </w:r>
    </w:p>
    <w:p>
      <w:pPr>
        <w:pStyle w:val="Normal"/>
        <w:rPr/>
      </w:pPr>
      <w:r>
        <w:rPr/>
        <w:tab/>
        <w:t>On June 28, 2001, DEP issued an order ruling upon Pompano Beach Energy Center’s original motions to dismiss filed on May 9, 2001.  The June 28 order denies the May 9 motions to dismiss.  The DEP order also provides that the denial is without prejudice to the Pompano Beach Energy Center to re-file motions to dismiss in response to the June 5 amended petitions.</w:t>
      </w:r>
    </w:p>
    <w:p>
      <w:pPr>
        <w:pStyle w:val="Normal"/>
        <w:rPr/>
      </w:pPr>
      <w:r>
        <w:rPr/>
      </w:r>
    </w:p>
    <w:p>
      <w:pPr>
        <w:pStyle w:val="Normal"/>
        <w:rPr/>
      </w:pPr>
      <w:r>
        <w:rPr/>
        <w:tab/>
        <w:t>Because the rules require that a motion to dismiss be filed within twenty days of a given petition, motions to dismiss the amended petitions had already been filed on June 22, 2001.</w:t>
      </w:r>
    </w:p>
    <w:p>
      <w:pPr>
        <w:pStyle w:val="Normal"/>
        <w:rPr/>
      </w:pPr>
      <w:r>
        <w:rPr/>
      </w:r>
    </w:p>
    <w:p>
      <w:pPr>
        <w:pStyle w:val="Normal"/>
        <w:rPr/>
      </w:pPr>
      <w:r>
        <w:rPr/>
        <w:tab/>
        <w:t>On June 28, 2001 DEP ruled upon the motion to intervene submitted by Broward County on May 8.  The motion to intervene was denied without prejudice to Broward County to re-file another motion to intervene based upon the amended petitions submitted on June 5, 2001.</w:t>
      </w:r>
    </w:p>
    <w:p>
      <w:pPr>
        <w:pStyle w:val="Normal"/>
        <w:rPr/>
      </w:pPr>
      <w:r>
        <w:rPr/>
      </w:r>
    </w:p>
    <w:p>
      <w:pPr>
        <w:pStyle w:val="Normal"/>
        <w:rPr/>
      </w:pPr>
      <w:r>
        <w:rPr/>
        <w:tab/>
        <w:t xml:space="preserve">Motions to dismiss directed at Coconut Creek’s and Coral Springs’ second amended petitions filed on June 29, 2001 are due within twenty days, or Thursday, July 19, 2001.  A motion to dismiss directed at Margate’s </w:t>
      </w:r>
      <w:r>
        <w:rPr>
          <w:i/>
          <w:iCs/>
        </w:rPr>
        <w:t xml:space="preserve">third </w:t>
      </w:r>
      <w:r>
        <w:rPr/>
        <w:t xml:space="preserve">amended petition is due on Monday, July 23, but we intend to file the motion on July 19 along with the motions directed at the </w:t>
      </w:r>
      <w:r>
        <w:rPr>
          <w:i/>
          <w:iCs/>
        </w:rPr>
        <w:t>second</w:t>
      </w:r>
      <w:r>
        <w:rPr/>
        <w:t xml:space="preserve"> amended petitions of Coconut Creek and Coral Springs.</w:t>
      </w:r>
    </w:p>
    <w:p>
      <w:pPr>
        <w:pStyle w:val="Heading1"/>
        <w:spacing w:before="240" w:after="120"/>
        <w:ind w:hanging="0" w:start="0"/>
        <w:rPr/>
      </w:pPr>
      <w:r>
        <w:rPr/>
        <w:t>DEP Requests Assignment of Administrative Law Judge.</w:t>
      </w:r>
    </w:p>
    <w:p>
      <w:pPr>
        <w:pStyle w:val="Normal"/>
        <w:rPr/>
      </w:pPr>
      <w:r>
        <w:rPr/>
        <w:tab/>
        <w:t>On July 3, 2001 DEP ruled that it had decided not to act as administrative law judge for purposes of ruling upon the second amended petitions, and requested that the case be assigned to an administrative law judge of the Division of Administrative Hearings.</w:t>
      </w:r>
    </w:p>
    <w:p>
      <w:pPr>
        <w:pStyle w:val="Normal"/>
        <w:rPr/>
      </w:pPr>
      <w:r>
        <w:rPr/>
      </w:r>
    </w:p>
    <w:p>
      <w:pPr>
        <w:pStyle w:val="Normal"/>
        <w:rPr/>
      </w:pPr>
      <w:r>
        <w:rPr/>
      </w:r>
      <w:r>
        <w:br w:type="page"/>
      </w:r>
    </w:p>
    <w:p>
      <w:pPr>
        <w:pStyle w:val="Normal"/>
        <w:rPr/>
      </w:pPr>
      <w:r>
        <w:rPr/>
      </w:r>
    </w:p>
    <w:p>
      <w:pPr>
        <w:pStyle w:val="Normal"/>
        <w:rPr/>
      </w:pPr>
      <w:r>
        <w:rPr/>
      </w:r>
    </w:p>
    <w:p>
      <w:pPr>
        <w:pStyle w:val="Normal"/>
        <w:jc w:val="center"/>
        <w:rPr>
          <w:rFonts w:ascii="CG Times Bold;Times New Roman" w:hAnsi="CG Times Bold;Times New Roman" w:cs="CG Times Bold;Times New Roman"/>
          <w:b/>
          <w:bCs/>
          <w:smallCaps/>
        </w:rPr>
      </w:pPr>
      <w:r>
        <w:rPr>
          <w:rFonts w:cs="CG Times Bold;Times New Roman" w:ascii="CG Times Bold;Times New Roman" w:hAnsi="CG Times Bold;Times New Roman"/>
          <w:b/>
          <w:bCs/>
          <w:smallCaps/>
        </w:rPr>
        <w:t>Deerfield Beach</w:t>
      </w:r>
    </w:p>
    <w:p>
      <w:pPr>
        <w:pStyle w:val="Normal"/>
        <w:spacing w:before="240" w:after="0"/>
        <w:rPr/>
      </w:pPr>
      <w:r>
        <w:rPr/>
        <w:tab/>
        <w:t>On June 26 and June 27, 2001 the City of Coconut Creek, the City of Coral Springs and Broward County submitted petitions for administrative hearing.  Motions to dismiss from the Deerfield Beach Energy Center are due within twenty days, or on Monday, July 16,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PCS/br</w:t>
      </w:r>
    </w:p>
    <w:p>
      <w:pPr>
        <w:pStyle w:val="Normal"/>
        <w:spacing w:before="720" w:after="0"/>
        <w:rPr>
          <w:sz w:val="12"/>
        </w:rPr>
      </w:pPr>
      <w:bookmarkStart w:id="7" w:name="lpDocsInfo"/>
      <w:r>
        <w:rPr>
          <w:sz w:val="12"/>
        </w:rPr>
        <w:fldChar w:fldCharType="begin"/>
      </w:r>
      <w:r>
        <w:rPr>
          <w:sz w:val="12"/>
        </w:rPr>
        <w:instrText xml:space="preserve"> DOCPROPERTY "gtTagLine"</w:instrText>
      </w:r>
      <w:r>
        <w:rPr>
          <w:sz w:val="12"/>
        </w:rPr>
        <w:fldChar w:fldCharType="separate"/>
      </w:r>
      <w:r>
        <w:rPr>
          <w:sz w:val="12"/>
        </w:rPr>
        <w:t>\\MIA-SRV01\SAVAGEP\1323783v01\SDFR01!.DOC\7/11/01\42292.010300</w:t>
      </w:r>
      <w:r>
        <w:rPr>
          <w:sz w:val="12"/>
        </w:rPr>
        <w:fldChar w:fldCharType="end"/>
      </w:r>
      <w:bookmarkEnd w:id="7"/>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G Times Bold">
    <w:altName w:val="Times New Roman"/>
    <w:charset w:val="00" w:characterSet="windows-1252"/>
    <w:family w:val="roman"/>
    <w:pitch w:val="default"/>
  </w:font>
  <w:font w:name="Liberation Sans">
    <w:altName w:val="Arial"/>
    <w:charset w:val="01" w:characterSet="utf-8"/>
    <w:family w:val="swiss"/>
    <w:pitch w:val="variable"/>
  </w:font>
  <w:font w:name="Calisto MT">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opLabel"/>
      <w:spacing w:before="0" w:after="0"/>
      <w:rPr/>
    </w:pPr>
    <w:r>
      <w:rPr/>
      <w:tab/>
    </w:r>
    <w:r>
      <w:rPr>
        <w:b/>
      </w:rPr>
      <w:t>To</w:t>
    </w:r>
    <w:r>
      <w:rPr/>
      <w:tab/>
      <w:t>Steven Krimsky</w:t>
    </w:r>
  </w:p>
  <w:p>
    <w:pPr>
      <w:pStyle w:val="TopLabel"/>
      <w:spacing w:before="0" w:after="0"/>
      <w:rPr/>
    </w:pPr>
    <w:r>
      <w:rPr/>
      <w:tab/>
    </w:r>
    <w:r>
      <w:rPr>
        <w:b/>
      </w:rPr>
      <w:t>Date</w:t>
    </w:r>
    <w:r>
      <w:rPr/>
      <w:tab/>
      <w:t>July 11, 2001</w:t>
    </w:r>
  </w:p>
  <w:p>
    <w:pPr>
      <w:pStyle w:val="TopLabel"/>
      <w:spacing w:before="0" w:after="0"/>
      <w:rPr/>
    </w:pPr>
    <w:r>
      <w:rPr/>
      <w:tab/>
    </w:r>
    <w:r>
      <w:rPr>
        <w:b/>
      </w:rPr>
      <w:t>Page</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gtTLAUPref" w:val="0"/>
    <w:docVar w:name="gtTLDlgPref" w:val="Last page;36 points;Left;6;1;1;1;1;1;1;0"/>
    <w:docVar w:name="gtTLStatus" w:val="updateabl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5040" w:leader="none"/>
      </w:tabs>
      <w:suppressAutoHyphens w:val="true"/>
      <w:bidi w:val="0"/>
      <w:jc w:val="both"/>
    </w:pPr>
    <w:rPr>
      <w:rFonts w:ascii="CG Times" w:hAnsi="CG Times" w:eastAsia="Times New Roman" w:cs="CG Times"/>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outlineLvl w:val="0"/>
    </w:pPr>
    <w:rPr>
      <w:rFonts w:ascii="CG Times Bold;Times New Roman" w:hAnsi="CG Times Bold;Times New Roman" w:cs="CG Times Bold;Times New Roman"/>
      <w:b/>
    </w:rPr>
  </w:style>
  <w:style w:type="paragraph" w:styleId="Heading2">
    <w:name w:val="heading 2"/>
    <w:basedOn w:val="Heading1"/>
    <w:next w:val="Normal"/>
    <w:qFormat/>
    <w:pPr>
      <w:numPr>
        <w:ilvl w:val="1"/>
        <w:numId w:val="1"/>
      </w:numPr>
      <w:outlineLvl w:val="1"/>
    </w:pPr>
    <w:rPr/>
  </w:style>
  <w:style w:type="paragraph" w:styleId="Heading3">
    <w:name w:val="heading 3"/>
    <w:basedOn w:val="Heading2"/>
    <w:next w:val="Normal"/>
    <w:qFormat/>
    <w:pPr>
      <w:numPr>
        <w:ilvl w:val="2"/>
        <w:numId w:val="1"/>
      </w:numPr>
      <w:outlineLvl w:val="2"/>
    </w:pPr>
    <w:rPr/>
  </w:style>
  <w:style w:type="paragraph" w:styleId="Heading4">
    <w:name w:val="heading 4"/>
    <w:basedOn w:val="Heading3"/>
    <w:next w:val="Normal"/>
    <w:qFormat/>
    <w:pPr>
      <w:numPr>
        <w:ilvl w:val="3"/>
        <w:numId w:val="1"/>
      </w:numPr>
      <w:outlineLvl w:val="3"/>
    </w:pPr>
    <w:rPr/>
  </w:style>
  <w:style w:type="paragraph" w:styleId="Heading5">
    <w:name w:val="heading 5"/>
    <w:basedOn w:val="Heading4"/>
    <w:next w:val="Normal"/>
    <w:qFormat/>
    <w:pPr>
      <w:numPr>
        <w:ilvl w:val="4"/>
        <w:numId w:val="1"/>
      </w:numPr>
      <w:outlineLvl w:val="4"/>
    </w:pPr>
    <w:rPr/>
  </w:style>
  <w:style w:type="paragraph" w:styleId="Heading6">
    <w:name w:val="heading 6"/>
    <w:basedOn w:val="Heading5"/>
    <w:next w:val="Normal"/>
    <w:qFormat/>
    <w:pPr>
      <w:numPr>
        <w:ilvl w:val="5"/>
        <w:numId w:val="1"/>
      </w:numPr>
      <w:outlineLvl w:val="5"/>
    </w:pPr>
    <w:rPr/>
  </w:style>
  <w:style w:type="paragraph" w:styleId="Heading7">
    <w:name w:val="heading 7"/>
    <w:basedOn w:val="Heading6"/>
    <w:next w:val="Normal"/>
    <w:qFormat/>
    <w:pPr>
      <w:numPr>
        <w:ilvl w:val="6"/>
        <w:numId w:val="1"/>
      </w:numPr>
      <w:outlineLvl w:val="6"/>
    </w:pPr>
    <w:rPr/>
  </w:style>
  <w:style w:type="paragraph" w:styleId="Heading8">
    <w:name w:val="heading 8"/>
    <w:basedOn w:val="Heading7"/>
    <w:next w:val="Normal"/>
    <w:qFormat/>
    <w:pPr>
      <w:numPr>
        <w:ilvl w:val="7"/>
        <w:numId w:val="1"/>
      </w:numPr>
      <w:outlineLvl w:val="7"/>
    </w:pPr>
    <w:rPr/>
  </w:style>
  <w:style w:type="paragraph" w:styleId="Heading9">
    <w:name w:val="heading 9"/>
    <w:basedOn w:val="Heading8"/>
    <w:next w:val="Normal"/>
    <w:qFormat/>
    <w:pPr>
      <w:numPr>
        <w:ilvl w:val="8"/>
        <w:numId w:val="1"/>
      </w:numPr>
      <w:tabs>
        <w:tab w:val="left" w:pos="360" w:leader="none"/>
        <w:tab w:val="left" w:pos="720" w:leader="none"/>
        <w:tab w:val="left" w:pos="1440" w:leader="none"/>
        <w:tab w:val="left" w:pos="2160" w:leader="none"/>
        <w:tab w:val="left" w:pos="5040" w:leader="none"/>
      </w:tabs>
      <w:outlineLvl w:val="8"/>
    </w:pPr>
    <w:rPr/>
  </w:style>
  <w:style w:type="character" w:styleId="DefaultParagraphFont">
    <w:name w:val="Default Paragraph Font"/>
    <w:qFormat/>
    <w:rPr/>
  </w:style>
  <w:style w:type="character" w:styleId="PageNumber">
    <w:name w:val="page number"/>
    <w:basedOn w:val="DefaultParagraphFont"/>
    <w:rPr>
      <w:rFonts w:ascii="CG Times" w:hAnsi="CG Times" w:cs="CG Times"/>
      <w:sz w:val="24"/>
    </w:rPr>
  </w:style>
  <w:style w:type="character" w:styleId="FootnoteCharacters">
    <w:name w:val="Footnote Characters"/>
    <w:basedOn w:val="DefaultParagraphFont"/>
    <w:qFormat/>
    <w:rPr>
      <w:rFonts w:ascii="CG Times" w:hAnsi="CG Times" w:cs="CG Times"/>
      <w:sz w:val="24"/>
      <w:u w:val="non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lear" w:pos="1440"/>
        <w:tab w:val="clear" w:pos="2160"/>
        <w:tab w:val="clear" w:pos="504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spacing w:before="0" w:after="120"/>
      <w:ind w:hanging="720" w:start="720" w:end="0"/>
    </w:pPr>
    <w:rPr/>
  </w:style>
  <w:style w:type="paragraph" w:styleId="TopLabel">
    <w:name w:val="Top Label"/>
    <w:basedOn w:val="Normal"/>
    <w:qFormat/>
    <w:pPr>
      <w:tabs>
        <w:tab w:val="clear" w:pos="720"/>
        <w:tab w:val="right" w:pos="1080" w:leader="none"/>
        <w:tab w:val="left" w:pos="1440" w:leader="none"/>
        <w:tab w:val="left" w:pos="2160" w:leader="none"/>
        <w:tab w:val="left" w:pos="5040" w:leader="none"/>
      </w:tabs>
      <w:spacing w:before="0" w:after="240"/>
      <w:ind w:hanging="1440" w:start="1440" w:end="0"/>
    </w:pPr>
    <w:rPr/>
  </w:style>
  <w:style w:type="paragraph" w:styleId="MemoTop">
    <w:name w:val="MemoTop"/>
    <w:basedOn w:val="Normal"/>
    <w:next w:val="MemoTop2"/>
    <w:qFormat/>
    <w:pPr>
      <w:spacing w:before="0" w:after="200"/>
      <w:ind w:hanging="0" w:start="720" w:end="0"/>
    </w:pPr>
    <w:rPr>
      <w:rFonts w:ascii="CG Times Bold;Times New Roman" w:hAnsi="CG Times Bold;Times New Roman" w:cs="CG Times Bold;Times New Roman"/>
      <w:b/>
      <w:sz w:val="48"/>
    </w:rPr>
  </w:style>
  <w:style w:type="paragraph" w:styleId="MemoTop2">
    <w:name w:val="MemoTop2"/>
    <w:basedOn w:val="MemoTop"/>
    <w:next w:val="TopLabel"/>
    <w:qFormat/>
    <w:pPr>
      <w:spacing w:before="0" w:after="680"/>
    </w:pPr>
    <w:rPr/>
  </w:style>
  <w:style w:type="paragraph" w:styleId="MemoLine">
    <w:name w:val="MemoLine"/>
    <w:next w:val="Normal"/>
    <w:qFormat/>
    <w:pPr>
      <w:widowControl/>
      <w:tabs>
        <w:tab w:val="clear" w:pos="720"/>
        <w:tab w:val="right" w:pos="9360" w:leader="none"/>
      </w:tabs>
      <w:overflowPunct w:val="false"/>
      <w:autoSpaceDE w:val="false"/>
      <w:bidi w:val="0"/>
      <w:textAlignment w:val="baseline"/>
    </w:pPr>
    <w:rPr>
      <w:rFonts w:ascii="Calisto MT" w:hAnsi="Calisto MT" w:eastAsia="Times New Roman" w:cs="Calisto MT"/>
      <w:color w:val="auto"/>
      <w:sz w:val="24"/>
      <w:szCs w:val="20"/>
      <w:u w:val="double"/>
      <w:lang w:val="en-US" w:bidi="ar-SA" w:eastAsia="zh-CN"/>
    </w:rPr>
  </w:style>
  <w:style w:type="paragraph" w:styleId="DoubleLine">
    <w:name w:val="DoubleLine"/>
    <w:basedOn w:val="Normal"/>
    <w:next w:val="Normal"/>
    <w:qFormat/>
    <w:pPr>
      <w:tabs>
        <w:tab w:val="left" w:pos="720" w:leader="none"/>
        <w:tab w:val="left" w:pos="1440" w:leader="none"/>
        <w:tab w:val="left" w:pos="2160" w:leader="none"/>
        <w:tab w:val="left" w:pos="5040" w:leader="none"/>
        <w:tab w:val="right" w:pos="9360" w:leader="none"/>
      </w:tabs>
    </w:pPr>
    <w:rPr>
      <w:rFonts w:ascii="Calisto MT" w:hAnsi="Calisto MT" w:cs="Calisto MT"/>
      <w:u w:val="double"/>
    </w:rPr>
  </w:style>
  <w:style w:type="paragraph" w:styleId="QuoteIndent">
    <w:name w:val="QuoteIndent"/>
    <w:basedOn w:val="Normal"/>
    <w:next w:val="Normal"/>
    <w:qFormat/>
    <w:pPr>
      <w:ind w:hanging="0" w:start="720" w:end="720"/>
    </w:pPr>
    <w:rPr/>
  </w:style>
  <w:style w:type="paragraph" w:styleId="CenteredSM">
    <w:name w:val="Centered/SM"/>
    <w:basedOn w:val="Normal"/>
    <w:next w:val="Normal"/>
    <w:qFormat/>
    <w:pPr>
      <w:keepNext w:val="true"/>
      <w:tabs>
        <w:tab w:val="clear" w:pos="720"/>
        <w:tab w:val="clear" w:pos="1440"/>
        <w:tab w:val="clear" w:pos="2160"/>
        <w:tab w:val="clear" w:pos="5040"/>
      </w:tabs>
      <w:spacing w:before="0" w:after="120"/>
      <w:ind w:hanging="0" w:start="1440" w:end="1440"/>
      <w:jc w:val="center"/>
    </w:pPr>
    <w:rPr>
      <w:rFonts w:ascii="CG Times Bold;Times New Roman" w:hAnsi="CG Times Bold;Times New Roman" w:cs="CG Times Bold;Times New Roman"/>
      <w:b/>
      <w:smallCaps/>
    </w:rPr>
  </w:style>
  <w:style w:type="paragraph" w:styleId="QuoteFootnote">
    <w:name w:val="QuoteFootnote"/>
    <w:basedOn w:val="FootnoteText"/>
    <w:next w:val="FootnoteText"/>
    <w:qFormat/>
    <w:pPr>
      <w:ind w:hanging="0" w:start="1440" w:end="72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PCS Memo without Logo.dot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2001-07-11T16:19:00Z</dcterms:created>
  <dc:creator>Barbara Augenblick</dc:creator>
  <dc:description/>
  <dc:language>en-CA</dc:language>
  <cp:lastModifiedBy>Paul Savage</cp:lastModifiedBy>
  <cp:lastPrinted>2001-07-11T14:38:00Z</cp:lastPrinted>
  <dcterms:modified xsi:type="dcterms:W3CDTF">2001-07-11T16:19:00Z</dcterms:modified>
  <cp:revision>2</cp:revision>
  <dc:subject/>
  <dc:title>SHELL/AJE MEMO (W/O LOGO)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\\MIA-SRV01\SAVAGEP\1323783v01\SDFR01!.DOC\7/11/01\42292.010300</vt:lpwstr>
  </property>
</Properties>
</file>