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jc w:val="center"/>
        <w:rPr>
          <w:sz w:val="22"/>
          <w:u w:val="single"/>
        </w:rPr>
      </w:pPr>
      <w:r>
        <w:rPr>
          <w:sz w:val="22"/>
        </w:rPr>
        <w:t xml:space="preserve">ARTICLE X.  </w:t>
      </w:r>
      <w:r>
        <w:rPr>
          <w:sz w:val="22"/>
          <w:u w:val="single"/>
        </w:rPr>
        <w:t>DELIVERY AND PERFORMANCE</w:t>
      </w:r>
      <w:r>
        <w:fldChar w:fldCharType="begin"/>
      </w:r>
      <w:r>
        <w:rPr/>
        <w:instrText xml:space="preserve"> TC "ARTICLE X.  DELIVERY AND PERFORMANCE" \l 1 </w:instrText>
      </w:r>
      <w:r>
        <w:rPr/>
        <w:fldChar w:fldCharType="separate"/>
      </w:r>
      <w:r>
        <w:rPr/>
      </w:r>
      <w:r>
        <w:rPr/>
        <w:fldChar w:fldCharType="end"/>
      </w:r>
    </w:p>
    <w:p>
      <w:pPr>
        <w:pStyle w:val="Normal"/>
        <w:spacing w:lineRule="auto" w:line="300"/>
        <w:jc w:val="both"/>
        <w:rPr>
          <w:sz w:val="22"/>
          <w:u w:val="single"/>
        </w:rPr>
      </w:pPr>
      <w:r>
        <w:rPr>
          <w:sz w:val="22"/>
          <w:u w:val="single"/>
        </w:rPr>
      </w:r>
    </w:p>
    <w:p>
      <w:pPr>
        <w:pStyle w:val="Normal"/>
        <w:spacing w:lineRule="auto" w:line="300"/>
        <w:jc w:val="both"/>
        <w:rPr/>
      </w:pPr>
      <w:r>
        <w:fldChar w:fldCharType="begin"/>
      </w:r>
      <w:r>
        <w:rPr/>
        <w:instrText xml:space="preserve"> TC "10.1   Delivery of Documentation" \l 2 </w:instrText>
      </w:r>
      <w:r>
        <w:rPr/>
        <w:fldChar w:fldCharType="separate"/>
      </w:r>
      <w:r>
        <w:rPr/>
      </w:r>
      <w:r>
        <w:rPr/>
        <w:fldChar w:fldCharType="end"/>
      </w:r>
      <w:r>
        <w:rPr>
          <w:sz w:val="22"/>
        </w:rPr>
        <w:t xml:space="preserve">10.1   </w:t>
      </w:r>
      <w:r>
        <w:rPr>
          <w:sz w:val="22"/>
          <w:u w:val="single"/>
        </w:rPr>
        <w:t>Delivery and Installation of Equipment</w:t>
      </w:r>
      <w:r>
        <w:fldChar w:fldCharType="begin"/>
      </w:r>
      <w:r>
        <w:rPr/>
        <w:instrText xml:space="preserve"> TC "10.2   Delivery and Installation of Equipment" \l 2 </w:instrText>
      </w:r>
      <w:r>
        <w:rPr/>
        <w:fldChar w:fldCharType="separate"/>
      </w:r>
      <w:r>
        <w:rPr/>
      </w:r>
      <w:r>
        <w:rPr/>
        <w:fldChar w:fldCharType="end"/>
      </w:r>
      <w:r>
        <w:rPr>
          <w:sz w:val="22"/>
        </w:rPr>
        <w:t xml:space="preserve">.  </w:t>
      </w:r>
    </w:p>
    <w:p>
      <w:pPr>
        <w:pStyle w:val="Normal"/>
        <w:spacing w:lineRule="auto" w:line="300"/>
        <w:jc w:val="both"/>
        <w:rPr>
          <w:sz w:val="22"/>
        </w:rPr>
      </w:pPr>
      <w:r>
        <w:rPr>
          <w:sz w:val="22"/>
        </w:rPr>
      </w:r>
    </w:p>
    <w:p>
      <w:pPr>
        <w:pStyle w:val="Normal"/>
        <w:spacing w:lineRule="auto" w:line="300"/>
        <w:jc w:val="both"/>
        <w:rPr/>
      </w:pPr>
      <w:r>
        <w:rPr>
          <w:sz w:val="22"/>
        </w:rPr>
        <w:t xml:space="preserve">10.1.1   </w:t>
      </w:r>
      <w:r>
        <w:rPr>
          <w:sz w:val="22"/>
          <w:u w:val="single"/>
        </w:rPr>
        <w:t>Establishment of Delivery and Acceptance Dates</w:t>
      </w:r>
      <w:r>
        <w:fldChar w:fldCharType="begin"/>
      </w:r>
      <w:r>
        <w:rPr/>
        <w:instrText xml:space="preserve"> TC "10.2.1   Guaranteed Installation Date" \l 3 </w:instrText>
      </w:r>
      <w:r>
        <w:rPr/>
        <w:fldChar w:fldCharType="separate"/>
      </w:r>
      <w:r>
        <w:rPr/>
      </w:r>
      <w:r>
        <w:rPr/>
        <w:fldChar w:fldCharType="end"/>
      </w:r>
      <w:r>
        <w:rPr>
          <w:sz w:val="22"/>
        </w:rPr>
        <w:t>. Each Release shall specify the expected Delivery and Acceptance Dates for each Unit and its associated Equipment. Such dates may be adjusted in accordance with [Section ] Seller shall (i) cause the Equipment to be delivered to the Delivery Point in undamaged condition in accordance with the Specification and the Release on or before the Delivery Date, and (ii) use commercially reasonable efforts to manufacture, deliver and install the Equipment in accordance with Exhibit N-3</w:t>
      </w:r>
      <w:r>
        <w:rPr>
          <w:b/>
          <w:sz w:val="22"/>
        </w:rPr>
        <w:t>[??]</w:t>
      </w:r>
      <w:r>
        <w:rPr>
          <w:sz w:val="22"/>
        </w:rPr>
        <w:t>, (“Installation Completion”).</w:t>
      </w:r>
    </w:p>
    <w:p>
      <w:pPr>
        <w:pStyle w:val="Normal"/>
        <w:spacing w:lineRule="auto" w:line="300"/>
        <w:jc w:val="both"/>
        <w:rPr>
          <w:sz w:val="22"/>
        </w:rPr>
      </w:pPr>
      <w:r>
        <w:rPr>
          <w:sz w:val="22"/>
        </w:rPr>
      </w:r>
    </w:p>
    <w:p>
      <w:pPr>
        <w:pStyle w:val="BodyText3"/>
        <w:spacing w:lineRule="auto" w:line="240"/>
        <w:rPr>
          <w:rFonts w:ascii="Times New Roman" w:hAnsi="Times New Roman" w:cs="Times New Roman"/>
          <w:b/>
          <w:color w:val="FF0000"/>
          <w:sz w:val="22"/>
        </w:rPr>
      </w:pPr>
      <w:r>
        <w:rPr>
          <w:rFonts w:cs="Times New Roman" w:ascii="Times New Roman" w:hAnsi="Times New Roman"/>
          <w:sz w:val="22"/>
        </w:rPr>
        <w:t xml:space="preserve">10.1.2   </w:t>
      </w:r>
      <w:r>
        <w:rPr>
          <w:rFonts w:cs="Times New Roman" w:ascii="Times New Roman" w:hAnsi="Times New Roman"/>
          <w:sz w:val="22"/>
          <w:u w:val="single"/>
        </w:rPr>
        <w:t>Delivery Restrictions</w:t>
      </w:r>
      <w:r>
        <w:fldChar w:fldCharType="begin"/>
      </w:r>
      <w:r>
        <w:rPr/>
        <w:instrText xml:space="preserve"> TC "10.2.1.2   Delivery Restrictions" \l 3 </w:instrText>
      </w:r>
      <w:r>
        <w:rPr/>
        <w:fldChar w:fldCharType="separate"/>
      </w:r>
      <w:r>
        <w:rPr/>
      </w:r>
      <w:r>
        <w:rPr/>
        <w:fldChar w:fldCharType="end"/>
      </w:r>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to the Delivery Point in a complete and undamaged condition.  </w:t>
      </w:r>
    </w:p>
    <w:p>
      <w:pPr>
        <w:pStyle w:val="BodyText3"/>
        <w:spacing w:lineRule="auto" w:line="240"/>
        <w:ind w:start="720" w:end="0"/>
        <w:rPr>
          <w:rFonts w:ascii="Times New Roman" w:hAnsi="Times New Roman" w:cs="Times New Roman"/>
          <w:b/>
          <w:color w:val="FF0000"/>
          <w:sz w:val="22"/>
        </w:rPr>
      </w:pPr>
      <w:r>
        <w:rPr>
          <w:rFonts w:cs="Times New Roman" w:ascii="Times New Roman" w:hAnsi="Times New Roman"/>
          <w:b/>
          <w:color w:val="FF0000"/>
          <w:sz w:val="22"/>
        </w:rPr>
      </w:r>
    </w:p>
    <w:p>
      <w:pPr>
        <w:pStyle w:val="Normal"/>
        <w:spacing w:lineRule="auto" w:line="300"/>
        <w:jc w:val="both"/>
        <w:rPr/>
      </w:pPr>
      <w:r>
        <w:rPr>
          <w:sz w:val="22"/>
        </w:rPr>
        <w:t xml:space="preserve">10.2. Intentionally Deleted.   </w:t>
      </w:r>
      <w:r>
        <w:fldChar w:fldCharType="begin"/>
      </w:r>
      <w:r>
        <w:rPr/>
        <w:instrText xml:space="preserve"> TC "10.2.5   Extensions of the Guaranteed Installation Date" \l 3 </w:instrText>
      </w:r>
      <w:r>
        <w:rPr/>
        <w:fldChar w:fldCharType="separate"/>
      </w:r>
      <w:r>
        <w:rPr/>
      </w:r>
      <w:r>
        <w:rPr/>
        <w:fldChar w:fldCharType="end"/>
      </w:r>
      <w:r>
        <w:fldChar w:fldCharType="begin"/>
      </w:r>
      <w:r>
        <w:rPr/>
        <w:instrText xml:space="preserve"> TC "10.2.6   Not Used" \l 3 </w:instrText>
      </w:r>
      <w:r>
        <w:rPr/>
        <w:fldChar w:fldCharType="separate"/>
      </w:r>
      <w:r>
        <w:rPr/>
      </w:r>
      <w:r>
        <w:rPr/>
        <w:fldChar w:fldCharType="end"/>
      </w:r>
      <w:r>
        <w:fldChar w:fldCharType="begin"/>
      </w:r>
      <w:r>
        <w:rPr/>
        <w:instrText xml:space="preserve"> TC "10.3.1   Installation Liquidated Damages" \l 3 </w:instrText>
      </w:r>
      <w:r>
        <w:rPr/>
        <w:fldChar w:fldCharType="separate"/>
      </w:r>
      <w:r>
        <w:rPr/>
      </w:r>
      <w:r>
        <w:rPr/>
        <w:fldChar w:fldCharType="end"/>
      </w:r>
      <w:r>
        <w:rPr>
          <w:sz w:val="22"/>
        </w:rPr>
        <w:t xml:space="preserve">  </w:t>
      </w:r>
    </w:p>
    <w:p>
      <w:pPr>
        <w:pStyle w:val="Normal"/>
        <w:spacing w:lineRule="auto" w:line="300"/>
        <w:jc w:val="both"/>
        <w:rPr>
          <w:sz w:val="22"/>
        </w:rPr>
      </w:pPr>
      <w:r>
        <w:rPr>
          <w:sz w:val="22"/>
        </w:rPr>
        <w:t>10.3  Intentionally Deleted (moved to Article XIV).</w:t>
      </w:r>
    </w:p>
    <w:p>
      <w:pPr>
        <w:pStyle w:val="Normal"/>
        <w:spacing w:lineRule="auto" w:line="300"/>
        <w:jc w:val="both"/>
        <w:rPr/>
      </w:pPr>
      <w:r>
        <w:rPr>
          <w:sz w:val="22"/>
        </w:rPr>
        <w:t xml:space="preserve">10.4 </w:t>
      </w:r>
      <w:r>
        <w:rPr>
          <w:sz w:val="22"/>
          <w:u w:val="single"/>
        </w:rPr>
        <w:t>Performance Standards.</w:t>
      </w:r>
      <w:r>
        <w:rPr/>
        <w:t xml:space="preserve"> Each Unit shall meet Performance Standards set forth in the following table for Acceptance:</w:t>
      </w:r>
    </w:p>
    <w:tbl>
      <w:tblPr>
        <w:tblW w:w="7578" w:type="dxa"/>
        <w:jc w:val="start"/>
        <w:tblInd w:w="648" w:type="dxa"/>
        <w:tblLayout w:type="fixed"/>
        <w:tblCellMar>
          <w:top w:w="0" w:type="dxa"/>
          <w:start w:w="108" w:type="dxa"/>
          <w:bottom w:w="0" w:type="dxa"/>
          <w:end w:w="108" w:type="dxa"/>
        </w:tblCellMar>
      </w:tblPr>
      <w:tblGrid>
        <w:gridCol w:w="2718"/>
        <w:gridCol w:w="2406"/>
        <w:gridCol w:w="2454"/>
      </w:tblGrid>
      <w:tr>
        <w:trPr/>
        <w:tc>
          <w:tcPr>
            <w:tcW w:w="27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2MW Power Plants</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b/>
              </w:rPr>
            </w:pPr>
            <w:r>
              <w:rPr>
                <w:b/>
              </w:rPr>
              <w:t>2.4MW Power Plants</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Power Output, kW</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2000 kW</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2400 kW</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LHV Efficiency, %</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48%</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48%</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Water Consumption</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600 gal/h</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620 gal/h</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Noise</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65 dB(A) at 100 feet</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65 dB(A) at 100 feet</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Emissions</w:t>
            </w:r>
          </w:p>
        </w:tc>
        <w:tc>
          <w:tcPr>
            <w:tcW w:w="2406"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c>
          <w:tcPr>
            <w:tcW w:w="2454" w:type="dxa"/>
            <w:tcBorders>
              <w:top w:val="single" w:sz="4" w:space="0" w:color="000000"/>
              <w:start w:val="single" w:sz="4" w:space="0" w:color="000000"/>
              <w:bottom w:val="single" w:sz="4" w:space="0" w:color="000000"/>
              <w:end w:val="single" w:sz="4" w:space="0" w:color="000000"/>
            </w:tcBorders>
          </w:tcPr>
          <w:p>
            <w:pPr>
              <w:pStyle w:val="Normal"/>
              <w:snapToGrid w:val="false"/>
              <w:jc w:val="end"/>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Nox</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&lt;1 ppmv</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&lt;1 ppmv</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SOx</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&lt;0.1 ppmv</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&lt;0.1 ppmv</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CO</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&lt;20 ppmv</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&lt;20 ppmv</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VOC</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&lt;20 ppmv</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&lt;20 ppmv</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ind w:start="720" w:end="0"/>
              <w:rPr/>
            </w:pPr>
            <w:r>
              <w:rPr/>
              <w:t>Particulates</w:t>
            </w:r>
          </w:p>
        </w:tc>
        <w:tc>
          <w:tcPr>
            <w:tcW w:w="2406" w:type="dxa"/>
            <w:tcBorders>
              <w:top w:val="single" w:sz="4" w:space="0" w:color="000000"/>
              <w:start w:val="single" w:sz="4" w:space="0" w:color="000000"/>
              <w:bottom w:val="single" w:sz="4" w:space="0" w:color="000000"/>
              <w:end w:val="single" w:sz="4" w:space="0" w:color="000000"/>
            </w:tcBorders>
          </w:tcPr>
          <w:p>
            <w:pPr>
              <w:pStyle w:val="Normal"/>
              <w:jc w:val="end"/>
              <w:rPr/>
            </w:pPr>
            <w:r>
              <w:rPr/>
              <w:t>&lt;100 mg/m</w:t>
            </w:r>
            <w:r>
              <w:rPr>
                <w:vertAlign w:val="superscript"/>
              </w:rPr>
              <w:t>3</w:t>
            </w:r>
          </w:p>
        </w:tc>
        <w:tc>
          <w:tcPr>
            <w:tcW w:w="2454" w:type="dxa"/>
            <w:tcBorders>
              <w:top w:val="single" w:sz="4" w:space="0" w:color="000000"/>
              <w:start w:val="single" w:sz="4" w:space="0" w:color="000000"/>
              <w:bottom w:val="single" w:sz="4" w:space="0" w:color="000000"/>
              <w:end w:val="single" w:sz="4" w:space="0" w:color="000000"/>
            </w:tcBorders>
          </w:tcPr>
          <w:p>
            <w:pPr>
              <w:pStyle w:val="Normal"/>
              <w:jc w:val="end"/>
              <w:rPr/>
            </w:pPr>
            <w:r>
              <w:rPr/>
              <w:t>&lt;100 mg/m</w:t>
            </w:r>
            <w:r>
              <w:rPr>
                <w:vertAlign w:val="superscript"/>
              </w:rPr>
              <w:t>3</w:t>
            </w:r>
          </w:p>
        </w:tc>
      </w:tr>
    </w:tbl>
    <w:p>
      <w:pPr>
        <w:pStyle w:val="Normal"/>
        <w:tabs>
          <w:tab w:val="clear" w:pos="720"/>
          <w:tab w:val="left" w:pos="4770" w:leader="none"/>
        </w:tabs>
        <w:rPr>
          <w:b/>
        </w:rPr>
      </w:pPr>
      <w:r>
        <w:rPr>
          <w:b/>
        </w:rPr>
      </w:r>
    </w:p>
    <w:p>
      <w:pPr>
        <w:pStyle w:val="Normal"/>
        <w:spacing w:lineRule="auto" w:line="300"/>
        <w:jc w:val="both"/>
        <w:rPr>
          <w:sz w:val="22"/>
        </w:rPr>
      </w:pPr>
      <w:r>
        <w:rPr>
          <w:sz w:val="22"/>
        </w:rPr>
        <w:t xml:space="preserve">10.5   </w:t>
      </w:r>
      <w:r>
        <w:rPr>
          <w:sz w:val="22"/>
          <w:u w:val="single"/>
        </w:rPr>
        <w:t>Testing.</w:t>
      </w:r>
      <w:r>
        <w:fldChar w:fldCharType="begin"/>
      </w:r>
      <w:r>
        <w:rPr/>
        <w:instrText xml:space="preserve"> TC "10.8   Not Used" \l 2 </w:instrText>
      </w:r>
      <w:r>
        <w:rPr/>
        <w:fldChar w:fldCharType="separate"/>
      </w:r>
      <w:r>
        <w:rPr/>
      </w:r>
      <w:r>
        <w:rPr/>
        <w:fldChar w:fldCharType="end"/>
      </w:r>
    </w:p>
    <w:p>
      <w:pPr>
        <w:pStyle w:val="Normal"/>
        <w:spacing w:lineRule="auto" w:line="300"/>
        <w:jc w:val="both"/>
        <w:rPr>
          <w:sz w:val="22"/>
        </w:rPr>
      </w:pPr>
      <w:r>
        <w:rPr>
          <w:sz w:val="22"/>
        </w:rPr>
      </w:r>
    </w:p>
    <w:p>
      <w:pPr>
        <w:pStyle w:val="Normal"/>
        <w:spacing w:lineRule="auto" w:line="300"/>
        <w:jc w:val="both"/>
        <w:rPr/>
      </w:pPr>
      <w:r>
        <w:rPr>
          <w:sz w:val="22"/>
        </w:rPr>
        <w:t xml:space="preserve">10.5.1   </w:t>
      </w:r>
      <w:r>
        <w:rPr>
          <w:sz w:val="22"/>
          <w:u w:val="single"/>
        </w:rPr>
        <w:t>Notice of Installation Completion; Conducting Tests</w:t>
      </w:r>
      <w:r>
        <w:fldChar w:fldCharType="begin"/>
      </w:r>
      <w:r>
        <w:rPr/>
        <w:instrText xml:space="preserve"> TC "10.8.1   Seller Presence at Tests" \l 3 </w:instrText>
      </w:r>
      <w:r>
        <w:rPr/>
        <w:fldChar w:fldCharType="separate"/>
      </w:r>
      <w:r>
        <w:rPr/>
      </w:r>
      <w:r>
        <w:rPr/>
        <w:fldChar w:fldCharType="end"/>
      </w:r>
      <w:r>
        <w:rPr>
          <w:sz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spacing w:lineRule="auto" w:line="300"/>
        <w:jc w:val="both"/>
        <w:rPr>
          <w:sz w:val="22"/>
        </w:rPr>
      </w:pPr>
      <w:r>
        <w:rPr>
          <w:sz w:val="22"/>
        </w:rPr>
      </w:r>
    </w:p>
    <w:p>
      <w:pPr>
        <w:pStyle w:val="Normal"/>
        <w:spacing w:lineRule="auto" w:line="300"/>
        <w:jc w:val="both"/>
        <w:rPr/>
      </w:pPr>
      <w:r>
        <w:rPr>
          <w:sz w:val="22"/>
        </w:rPr>
        <w:t xml:space="preserve">10.5.2   </w:t>
      </w:r>
      <w:r>
        <w:rPr>
          <w:sz w:val="22"/>
          <w:u w:val="single"/>
        </w:rPr>
        <w:t>Test Results</w:t>
      </w:r>
      <w:r>
        <w:fldChar w:fldCharType="begin"/>
      </w:r>
      <w:r>
        <w:rPr/>
        <w:instrText xml:space="preserve"> TC "10.8.2   Test Results" \l 3 </w:instrText>
      </w:r>
      <w:r>
        <w:rPr/>
        <w:fldChar w:fldCharType="separate"/>
      </w:r>
      <w:r>
        <w:rPr/>
      </w:r>
      <w:r>
        <w:rPr/>
        <w:fldChar w:fldCharType="end"/>
      </w:r>
      <w:r>
        <w:rPr>
          <w:sz w:val="22"/>
        </w:rPr>
        <w:t xml:space="preserve">. Performance Tests shall be conducted on a unit-by-unit basis. Upon the completion of each Performance Test Purchaser will issue a Performance Test Certificate setting forth the results achieved during such test within three (3) days of completion of the Performance Test.  In the case of multiple Performance Tests, </w:t>
      </w:r>
      <w:r>
        <w:fldChar w:fldCharType="begin"/>
      </w:r>
      <w:r>
        <w:rPr/>
        <w:instrText xml:space="preserve"> TC "10.5   Most Recent Performance Test" \l 2 </w:instrText>
      </w:r>
      <w:r>
        <w:rPr/>
        <w:fldChar w:fldCharType="separate"/>
      </w:r>
      <w:r>
        <w:rPr/>
      </w:r>
      <w:r>
        <w:rPr/>
        <w:fldChar w:fldCharType="end"/>
      </w:r>
      <w:r>
        <w:rPr>
          <w:sz w:val="22"/>
          <w:u w:val="single"/>
        </w:rPr>
        <w:t>p</w:t>
      </w:r>
      <w:r>
        <w:rPr>
          <w:sz w:val="22"/>
        </w:rPr>
        <w:t>erformance shall be measured by the most recent Performance Test.</w:t>
      </w:r>
    </w:p>
    <w:p>
      <w:pPr>
        <w:pStyle w:val="Normal"/>
        <w:spacing w:lineRule="auto" w:line="300"/>
        <w:jc w:val="both"/>
        <w:rPr>
          <w:sz w:val="22"/>
        </w:rPr>
      </w:pPr>
      <w:r>
        <w:rPr>
          <w:sz w:val="22"/>
        </w:rPr>
      </w:r>
    </w:p>
    <w:p>
      <w:pPr>
        <w:pStyle w:val="Normal"/>
        <w:spacing w:lineRule="auto" w:line="300"/>
        <w:jc w:val="both"/>
        <w:rPr/>
      </w:pPr>
      <w:r>
        <w:rPr>
          <w:sz w:val="22"/>
        </w:rPr>
        <w:t xml:space="preserve">10.5.3   </w:t>
      </w:r>
      <w:r>
        <w:rPr>
          <w:sz w:val="22"/>
          <w:u w:val="single"/>
        </w:rPr>
        <w:t>Costs of  Retests</w:t>
      </w:r>
      <w:r>
        <w:fldChar w:fldCharType="begin"/>
      </w:r>
      <w:r>
        <w:rPr/>
        <w:instrText xml:space="preserve"> TC "10.8.3   Consumable Spare Parts During Retests" \l 3 </w:instrText>
      </w:r>
      <w:r>
        <w:rPr/>
        <w:fldChar w:fldCharType="separate"/>
      </w:r>
      <w:r>
        <w:rPr/>
      </w:r>
      <w:r>
        <w:rPr/>
        <w:fldChar w:fldCharType="end"/>
      </w:r>
      <w:r>
        <w:rPr>
          <w:sz w:val="22"/>
        </w:rPr>
        <w:t>.  If one or more additional Acceptance Tests are required due to the failure of a Unit to pass its Performance Test, Seller will bear the additional costs (if any) incurred by Purchaser in excess of those costs normally associated with operating the Unit. Such additional costs may include, but not be limited to, cost of testing, instrumentation, fuel, consumable spare parts, and additional personnel required to conduct the tests.</w:t>
      </w:r>
    </w:p>
    <w:p>
      <w:pPr>
        <w:pStyle w:val="Normal"/>
        <w:spacing w:lineRule="auto" w:line="300"/>
        <w:jc w:val="both"/>
        <w:rPr>
          <w:sz w:val="22"/>
        </w:rPr>
      </w:pPr>
      <w:r>
        <w:rPr>
          <w:sz w:val="22"/>
        </w:rPr>
      </w:r>
    </w:p>
    <w:p>
      <w:pPr>
        <w:pStyle w:val="Normal"/>
        <w:spacing w:lineRule="auto" w:line="300"/>
        <w:jc w:val="both"/>
        <w:rPr/>
      </w:pPr>
      <w:r>
        <w:rPr>
          <w:sz w:val="22"/>
        </w:rPr>
        <w:t xml:space="preserve">10.6   </w:t>
      </w:r>
      <w:r>
        <w:rPr>
          <w:sz w:val="22"/>
          <w:u w:val="single"/>
        </w:rPr>
        <w:t>Acceptance</w:t>
      </w:r>
      <w:r>
        <w:fldChar w:fldCharType="begin"/>
      </w:r>
      <w:r>
        <w:rPr/>
        <w:instrText xml:space="preserve"> TC "10.9   Acceptance" \l 2 </w:instrText>
      </w:r>
      <w:r>
        <w:rPr/>
        <w:fldChar w:fldCharType="separate"/>
      </w:r>
      <w:r>
        <w:rPr/>
      </w:r>
      <w:r>
        <w:rPr/>
        <w:fldChar w:fldCharType="end"/>
      </w:r>
      <w:r>
        <w:rPr>
          <w:sz w:val="22"/>
        </w:rPr>
        <w:t xml:space="preserve">. Acceptance for each Unit (and its associated Equipment) shall occur upon the issuance of the Performance Test Certificate by Purchaser as a result of the Unit having met the Performance Standards.  </w:t>
      </w:r>
    </w:p>
    <w:p>
      <w:pPr>
        <w:pStyle w:val="Normal"/>
        <w:spacing w:lineRule="auto" w:line="300"/>
        <w:jc w:val="both"/>
        <w:rPr>
          <w:sz w:val="22"/>
        </w:rPr>
      </w:pPr>
      <w:r>
        <w:rPr>
          <w:sz w:val="22"/>
        </w:rPr>
      </w:r>
    </w:p>
    <w:p>
      <w:pPr>
        <w:pStyle w:val="Normal"/>
        <w:spacing w:lineRule="auto" w:line="300"/>
        <w:jc w:val="both"/>
        <w:rPr/>
      </w:pPr>
      <w:r>
        <w:rPr>
          <w:sz w:val="22"/>
        </w:rPr>
        <w:t xml:space="preserve">10.6.1 </w:t>
      </w:r>
      <w:r>
        <w:rPr>
          <w:sz w:val="22"/>
          <w:u w:val="single"/>
        </w:rPr>
        <w:t>Acceptance of the Last Unit.</w:t>
      </w:r>
      <w:r>
        <w:rPr>
          <w:sz w:val="22"/>
        </w:rPr>
        <w:t xml:space="preserve"> Acceptance of the last Unit to be installed in a Facility shall occur when all of the following have occurred: </w:t>
      </w:r>
    </w:p>
    <w:p>
      <w:pPr>
        <w:pStyle w:val="Normal"/>
        <w:spacing w:lineRule="auto" w:line="300"/>
        <w:jc w:val="both"/>
        <w:rPr>
          <w:sz w:val="22"/>
        </w:rPr>
      </w:pPr>
      <w:r>
        <w:rPr>
          <w:sz w:val="22"/>
        </w:rPr>
      </w:r>
    </w:p>
    <w:p>
      <w:pPr>
        <w:pStyle w:val="Normal"/>
        <w:numPr>
          <w:ilvl w:val="0"/>
          <w:numId w:val="5"/>
        </w:numPr>
        <w:jc w:val="both"/>
        <w:rPr>
          <w:sz w:val="22"/>
        </w:rPr>
      </w:pPr>
      <w:r>
        <w:rPr>
          <w:sz w:val="22"/>
        </w:rPr>
        <w:t>the issuance of a Performance Test Certificate by Purchaser as a result of a Performance Test indicating that the final Unit has met the Performance Standards;</w:t>
      </w:r>
    </w:p>
    <w:p>
      <w:pPr>
        <w:pStyle w:val="Normal"/>
        <w:ind w:start="720" w:end="0"/>
        <w:jc w:val="both"/>
        <w:rPr>
          <w:sz w:val="22"/>
        </w:rPr>
      </w:pPr>
      <w:r>
        <w:rPr>
          <w:sz w:val="22"/>
        </w:rPr>
      </w:r>
    </w:p>
    <w:p>
      <w:pPr>
        <w:pStyle w:val="Normal"/>
        <w:numPr>
          <w:ilvl w:val="0"/>
          <w:numId w:val="5"/>
        </w:numPr>
        <w:jc w:val="both"/>
        <w:rPr>
          <w:sz w:val="22"/>
        </w:rPr>
      </w:pPr>
      <w:r>
        <w:rPr>
          <w:sz w:val="22"/>
        </w:rPr>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jc w:val="both"/>
        <w:rPr>
          <w:sz w:val="22"/>
        </w:rPr>
      </w:pPr>
      <w:r>
        <w:rPr>
          <w:sz w:val="22"/>
        </w:rPr>
      </w:r>
    </w:p>
    <w:p>
      <w:pPr>
        <w:pStyle w:val="Normal"/>
        <w:jc w:val="both"/>
        <w:rPr/>
      </w:pPr>
      <w:r>
        <w:rPr>
          <w:sz w:val="22"/>
        </w:rPr>
        <w:t xml:space="preserve">10. 6.2. </w:t>
      </w:r>
      <w:r>
        <w:rPr>
          <w:sz w:val="22"/>
          <w:u w:val="single"/>
        </w:rPr>
        <w:t>Remaining Items after Acceptance.</w:t>
      </w:r>
      <w:r>
        <w:rPr>
          <w:sz w:val="22"/>
        </w:rPr>
        <w:t xml:space="preserve"> Purchaser may not delay Acceptance of the last unit, but may withhold up to 5% of the amount due on the last Unit until the following remaining items are completed:</w:t>
      </w:r>
    </w:p>
    <w:p>
      <w:pPr>
        <w:pStyle w:val="Normal"/>
        <w:jc w:val="both"/>
        <w:rPr>
          <w:sz w:val="22"/>
        </w:rPr>
      </w:pPr>
      <w:r>
        <w:rPr>
          <w:sz w:val="22"/>
        </w:rPr>
      </w:r>
    </w:p>
    <w:p>
      <w:pPr>
        <w:pStyle w:val="Normal"/>
        <w:numPr>
          <w:ilvl w:val="0"/>
          <w:numId w:val="4"/>
        </w:numPr>
        <w:tabs>
          <w:tab w:val="clear" w:pos="720"/>
          <w:tab w:val="left" w:pos="1440" w:leader="none"/>
        </w:tabs>
        <w:ind w:hanging="720" w:start="1440" w:end="0"/>
        <w:jc w:val="both"/>
        <w:rPr>
          <w:sz w:val="22"/>
        </w:rPr>
      </w:pPr>
      <w:r>
        <w:rPr>
          <w:sz w:val="22"/>
        </w:rPr>
        <w:t>All completion of training and the delivery of O &amp; M Manuals and special tools required hereunder shall have occurred;</w:t>
      </w:r>
    </w:p>
    <w:p>
      <w:pPr>
        <w:pStyle w:val="Normal"/>
        <w:ind w:start="720" w:end="0"/>
        <w:jc w:val="both"/>
        <w:rPr>
          <w:sz w:val="22"/>
        </w:rPr>
      </w:pPr>
      <w:r>
        <w:rPr>
          <w:sz w:val="22"/>
        </w:rPr>
      </w:r>
    </w:p>
    <w:p>
      <w:pPr>
        <w:pStyle w:val="Normal"/>
        <w:numPr>
          <w:ilvl w:val="0"/>
          <w:numId w:val="4"/>
        </w:numPr>
        <w:tabs>
          <w:tab w:val="clear" w:pos="720"/>
          <w:tab w:val="left" w:pos="1440" w:leader="none"/>
        </w:tabs>
        <w:ind w:hanging="720" w:start="1440" w:end="0"/>
        <w:jc w:val="both"/>
        <w:rPr>
          <w:sz w:val="22"/>
        </w:rPr>
      </w:pPr>
      <w:r>
        <w:rPr>
          <w:sz w:val="22"/>
        </w:rPr>
        <w:t>There are no punch list items remaining to be completed.</w:t>
      </w:r>
    </w:p>
    <w:p>
      <w:pPr>
        <w:pStyle w:val="Normal"/>
        <w:tabs>
          <w:tab w:val="clear" w:pos="720"/>
          <w:tab w:val="left" w:pos="-1440" w:leader="none"/>
        </w:tabs>
        <w:jc w:val="both"/>
        <w:rPr>
          <w:sz w:val="22"/>
        </w:rPr>
      </w:pPr>
      <w:r>
        <w:rPr>
          <w:sz w:val="22"/>
        </w:rPr>
      </w:r>
    </w:p>
    <w:p>
      <w:pPr>
        <w:pStyle w:val="Normal"/>
        <w:spacing w:lineRule="auto" w:line="300"/>
        <w:jc w:val="both"/>
        <w:rPr>
          <w:sz w:val="22"/>
        </w:rPr>
      </w:pPr>
      <w:r>
        <w:rPr>
          <w:sz w:val="22"/>
        </w:rPr>
        <w:t>10.7 Intentionally Deleted (moved to Article XIV).</w:t>
      </w:r>
    </w:p>
    <w:p>
      <w:pPr>
        <w:pStyle w:val="Normal"/>
        <w:spacing w:lineRule="auto" w:line="300"/>
        <w:jc w:val="both"/>
        <w:rPr>
          <w:sz w:val="22"/>
        </w:rPr>
      </w:pPr>
      <w:r>
        <w:rPr>
          <w:sz w:val="22"/>
        </w:rPr>
        <w:t xml:space="preserve">10.8 Intentionally Deleted (moved to Article XIV). </w:t>
      </w:r>
    </w:p>
    <w:p>
      <w:pPr>
        <w:pStyle w:val="Normal"/>
        <w:rPr>
          <w:sz w:val="22"/>
        </w:rPr>
      </w:pPr>
      <w:r>
        <w:rPr>
          <w:sz w:val="22"/>
        </w:rPr>
      </w:r>
    </w:p>
    <w:p>
      <w:pPr>
        <w:pStyle w:val="Normal"/>
        <w:rPr>
          <w:sz w:val="22"/>
        </w:rPr>
      </w:pPr>
      <w:r>
        <w:rPr>
          <w:sz w:val="22"/>
        </w:rPr>
      </w:r>
    </w:p>
    <w:p>
      <w:pPr>
        <w:pStyle w:val="Normal"/>
        <w:tabs>
          <w:tab w:val="clear" w:pos="720"/>
          <w:tab w:val="center" w:pos="5040" w:leader="none"/>
        </w:tabs>
        <w:spacing w:lineRule="auto" w:line="300"/>
        <w:jc w:val="center"/>
        <w:rPr>
          <w:sz w:val="22"/>
        </w:rPr>
      </w:pPr>
      <w:r>
        <w:rPr>
          <w:sz w:val="22"/>
        </w:rPr>
        <w:t xml:space="preserve">ARTICLE XIV.  </w:t>
      </w:r>
      <w:r>
        <w:rPr>
          <w:sz w:val="22"/>
          <w:u w:val="single"/>
        </w:rPr>
        <w:t>WARRANTY</w:t>
      </w:r>
      <w:r>
        <w:fldChar w:fldCharType="begin"/>
      </w:r>
      <w:r>
        <w:rPr/>
        <w:instrText xml:space="preserve"> TC "ARTICLE XIV.  WARRANTY" \l 1 </w:instrText>
      </w:r>
      <w:r>
        <w:rPr/>
        <w:fldChar w:fldCharType="separate"/>
      </w:r>
      <w:r>
        <w:rPr/>
      </w:r>
      <w:r>
        <w:rPr/>
        <w:fldChar w:fldCharType="end"/>
      </w:r>
    </w:p>
    <w:p>
      <w:pPr>
        <w:pStyle w:val="Normal"/>
        <w:spacing w:lineRule="auto" w:line="300"/>
        <w:jc w:val="both"/>
        <w:rPr>
          <w:sz w:val="22"/>
        </w:rPr>
      </w:pPr>
      <w:r>
        <w:rPr>
          <w:sz w:val="22"/>
        </w:rPr>
      </w:r>
    </w:p>
    <w:p>
      <w:pPr>
        <w:pStyle w:val="Normal"/>
        <w:spacing w:lineRule="auto" w:line="300"/>
        <w:jc w:val="both"/>
        <w:rPr/>
      </w:pPr>
      <w:r>
        <w:rPr>
          <w:sz w:val="22"/>
        </w:rPr>
        <w:t xml:space="preserve">14.1   </w:t>
      </w:r>
      <w:r>
        <w:rPr>
          <w:sz w:val="22"/>
          <w:u w:val="single"/>
        </w:rPr>
        <w:t>Seller’s Warranty</w:t>
      </w:r>
      <w:r>
        <w:fldChar w:fldCharType="begin"/>
      </w:r>
      <w:r>
        <w:rPr/>
        <w:instrText xml:space="preserve"> TC "14.1   Seller’s Warranty" \l 2 </w:instrText>
      </w:r>
      <w:r>
        <w:rPr/>
        <w:fldChar w:fldCharType="separate"/>
      </w:r>
      <w:r>
        <w:rPr/>
      </w:r>
      <w:r>
        <w:rPr/>
        <w:fldChar w:fldCharType="end"/>
      </w:r>
      <w:r>
        <w:rPr>
          <w:sz w:val="22"/>
        </w:rPr>
        <w:t>.</w:t>
      </w:r>
    </w:p>
    <w:p>
      <w:pPr>
        <w:pStyle w:val="Normal"/>
        <w:spacing w:lineRule="auto" w:line="300"/>
        <w:jc w:val="both"/>
        <w:rPr>
          <w:sz w:val="22"/>
        </w:rPr>
      </w:pPr>
      <w:r>
        <w:rPr>
          <w:sz w:val="22"/>
        </w:rPr>
      </w:r>
    </w:p>
    <w:p>
      <w:pPr>
        <w:pStyle w:val="Normal"/>
        <w:spacing w:lineRule="auto" w:line="300"/>
        <w:jc w:val="both"/>
        <w:rPr/>
      </w:pPr>
      <w:r>
        <w:rPr>
          <w:sz w:val="22"/>
        </w:rPr>
        <w:t xml:space="preserve">14.1.1   </w:t>
      </w:r>
      <w:r>
        <w:rPr>
          <w:sz w:val="22"/>
          <w:u w:val="single"/>
        </w:rPr>
        <w:t>Warranty</w:t>
      </w:r>
      <w:r>
        <w:fldChar w:fldCharType="begin"/>
      </w:r>
      <w:r>
        <w:rPr/>
        <w:instrText xml:space="preserve"> TC "14.1.1   Primary Warranty Period" \l 3 </w:instrText>
      </w:r>
      <w:r>
        <w:rPr/>
        <w:fldChar w:fldCharType="separate"/>
      </w:r>
      <w:r>
        <w:rPr/>
      </w:r>
      <w:r>
        <w:rPr/>
        <w:fldChar w:fldCharType="end"/>
      </w:r>
      <w:r>
        <w:rPr>
          <w:sz w:val="22"/>
        </w:rPr>
        <w:t xml:space="preserve">.  Seller warrants that for a period of twelve months following the Acceptance Date (the “Primary Warranty Period”): </w:t>
      </w:r>
    </w:p>
    <w:p>
      <w:pPr>
        <w:pStyle w:val="Normal"/>
        <w:spacing w:lineRule="auto" w:line="300"/>
        <w:jc w:val="both"/>
        <w:rPr>
          <w:sz w:val="22"/>
        </w:rPr>
      </w:pPr>
      <w:r>
        <w:rPr>
          <w:sz w:val="22"/>
        </w:rPr>
      </w:r>
    </w:p>
    <w:p>
      <w:pPr>
        <w:pStyle w:val="Normal"/>
        <w:tabs>
          <w:tab w:val="clear" w:pos="720"/>
          <w:tab w:val="left" w:pos="-1440" w:leader="none"/>
        </w:tabs>
        <w:spacing w:lineRule="auto" w:line="300"/>
        <w:ind w:hanging="720" w:start="1440" w:end="0"/>
        <w:jc w:val="both"/>
        <w:rPr>
          <w:sz w:val="22"/>
        </w:rPr>
      </w:pPr>
      <w:r>
        <w:rPr>
          <w:sz w:val="22"/>
        </w:rPr>
        <w:t>(a)</w:t>
        <w:tab/>
        <w:t xml:space="preserve">the Equipment and all other materials and articles furnished hereunder are new,  not repaired (except as permitted by Purchaser); </w:t>
      </w:r>
    </w:p>
    <w:p>
      <w:pPr>
        <w:pStyle w:val="Normal"/>
        <w:tabs>
          <w:tab w:val="clear" w:pos="720"/>
          <w:tab w:val="left" w:pos="-1440" w:leader="none"/>
        </w:tabs>
        <w:spacing w:lineRule="auto" w:line="300"/>
        <w:ind w:hanging="720" w:start="1440" w:end="0"/>
        <w:jc w:val="both"/>
        <w:rPr>
          <w:sz w:val="22"/>
        </w:rPr>
      </w:pPr>
      <w:r>
        <w:rPr>
          <w:sz w:val="22"/>
        </w:rPr>
        <w:t>(b)</w:t>
        <w:tab/>
        <w:t xml:space="preserve">the Scope of Work was performed in a good and workmanlike manner and in accordance with the degree of care, skill and diligence consistent with electric industry standards and the Equipment is free from defects in materials and/or workmanship; </w:t>
      </w:r>
    </w:p>
    <w:p>
      <w:pPr>
        <w:pStyle w:val="Normal"/>
        <w:numPr>
          <w:ilvl w:val="0"/>
          <w:numId w:val="2"/>
        </w:numPr>
        <w:tabs>
          <w:tab w:val="clear" w:pos="720"/>
          <w:tab w:val="left" w:pos="-1440" w:leader="none"/>
        </w:tabs>
        <w:spacing w:lineRule="auto" w:line="300"/>
        <w:jc w:val="both"/>
        <w:rPr>
          <w:sz w:val="22"/>
        </w:rPr>
      </w:pPr>
      <w:r>
        <w:rPr>
          <w:sz w:val="22"/>
        </w:rPr>
        <w:t>the Equipment conforms to the Specification and other material requirements of this Agreement;</w:t>
      </w:r>
    </w:p>
    <w:p>
      <w:pPr>
        <w:pStyle w:val="Normal"/>
        <w:spacing w:lineRule="auto" w:line="300"/>
        <w:jc w:val="both"/>
        <w:rPr>
          <w:sz w:val="22"/>
        </w:rPr>
      </w:pPr>
      <w:r>
        <w:rPr>
          <w:sz w:val="22"/>
        </w:rPr>
      </w:r>
    </w:p>
    <w:p>
      <w:pPr>
        <w:pStyle w:val="Normal"/>
        <w:spacing w:lineRule="auto" w:line="300"/>
        <w:jc w:val="both"/>
        <w:rPr/>
      </w:pPr>
      <w:r>
        <w:rPr>
          <w:sz w:val="22"/>
        </w:rPr>
        <w:t xml:space="preserve">14.1.2   </w:t>
      </w:r>
      <w:r>
        <w:rPr>
          <w:sz w:val="22"/>
          <w:u w:val="single"/>
        </w:rPr>
        <w:t>Warranty Clarification</w:t>
      </w:r>
      <w:r>
        <w:fldChar w:fldCharType="begin"/>
      </w:r>
      <w:r>
        <w:rPr/>
        <w:instrText xml:space="preserve"> TC "14.1.2   Warranty Clarification" \l 3 </w:instrText>
      </w:r>
      <w:r>
        <w:rPr/>
        <w:fldChar w:fldCharType="separate"/>
      </w:r>
      <w:r>
        <w:rPr/>
      </w:r>
      <w:r>
        <w:rPr/>
        <w:fldChar w:fldCharType="end"/>
      </w:r>
      <w:r>
        <w:rPr>
          <w:sz w:val="22"/>
        </w:rPr>
        <w:t>.  Seller shall have no obligation for correction, repair or replacement of the Equipment in accordance with this Article XIV to the extent that a defect is the result of:</w:t>
      </w:r>
    </w:p>
    <w:p>
      <w:pPr>
        <w:pStyle w:val="Normal"/>
        <w:tabs>
          <w:tab w:val="clear" w:pos="720"/>
          <w:tab w:val="left" w:pos="-1440" w:leader="none"/>
        </w:tabs>
        <w:ind w:hanging="720" w:start="1440" w:end="0"/>
        <w:jc w:val="both"/>
        <w:rPr>
          <w:sz w:val="22"/>
        </w:rPr>
      </w:pPr>
      <w:r>
        <w:rPr>
          <w:sz w:val="22"/>
        </w:rPr>
      </w:r>
    </w:p>
    <w:p>
      <w:pPr>
        <w:pStyle w:val="Normal"/>
        <w:tabs>
          <w:tab w:val="clear" w:pos="720"/>
          <w:tab w:val="left" w:pos="-1440" w:leader="none"/>
        </w:tabs>
        <w:ind w:hanging="720" w:start="1440" w:end="0"/>
        <w:jc w:val="both"/>
        <w:rPr>
          <w:sz w:val="22"/>
        </w:rPr>
      </w:pPr>
      <w:r>
        <w:rPr>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tabs>
          <w:tab w:val="clear" w:pos="720"/>
          <w:tab w:val="left" w:pos="-1440" w:leader="none"/>
        </w:tabs>
        <w:ind w:hanging="720" w:start="1440" w:end="0"/>
        <w:jc w:val="both"/>
        <w:rPr>
          <w:sz w:val="22"/>
        </w:rPr>
      </w:pPr>
      <w:r>
        <w:rPr>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jc w:val="both"/>
        <w:rPr>
          <w:sz w:val="22"/>
        </w:rPr>
      </w:pPr>
      <w:r>
        <w:rPr>
          <w:sz w:val="22"/>
        </w:rPr>
        <w:tab/>
        <w:t>(iii)</w:t>
        <w:tab/>
        <w:t>[degradation in accordance with Seller’s degradation curves included in the Specifications.]</w:t>
      </w:r>
    </w:p>
    <w:p>
      <w:pPr>
        <w:pStyle w:val="Normal"/>
        <w:spacing w:lineRule="auto" w:line="300"/>
        <w:jc w:val="both"/>
        <w:rPr>
          <w:sz w:val="22"/>
        </w:rPr>
      </w:pPr>
      <w:r>
        <w:rPr>
          <w:sz w:val="22"/>
        </w:rPr>
      </w:r>
    </w:p>
    <w:p>
      <w:pPr>
        <w:pStyle w:val="Normal"/>
        <w:spacing w:lineRule="auto" w:line="300"/>
        <w:jc w:val="both"/>
        <w:rPr>
          <w:sz w:val="22"/>
        </w:rPr>
      </w:pPr>
      <w:r>
        <w:rPr>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Purchaser becomes aware of such defect.</w:t>
      </w:r>
    </w:p>
    <w:p>
      <w:pPr>
        <w:pStyle w:val="Normal"/>
        <w:spacing w:lineRule="auto" w:line="300"/>
        <w:jc w:val="both"/>
        <w:rPr>
          <w:sz w:val="22"/>
        </w:rPr>
      </w:pPr>
      <w:r>
        <w:rPr>
          <w:sz w:val="22"/>
        </w:rPr>
      </w:r>
    </w:p>
    <w:p>
      <w:pPr>
        <w:pStyle w:val="Normal"/>
        <w:spacing w:lineRule="auto" w:line="300"/>
        <w:jc w:val="both"/>
        <w:rPr/>
      </w:pPr>
      <w:r>
        <w:rPr>
          <w:sz w:val="22"/>
        </w:rPr>
        <w:t xml:space="preserve">14.1.3   </w:t>
      </w:r>
      <w:r>
        <w:rPr>
          <w:sz w:val="22"/>
          <w:u w:val="single"/>
        </w:rPr>
        <w:t>Warranty Breach Notice</w:t>
      </w:r>
      <w:r>
        <w:fldChar w:fldCharType="begin"/>
      </w:r>
      <w:r>
        <w:rPr/>
        <w:instrText xml:space="preserve"> TC "14.1.3   Warranty Breach Notice" \l 3 </w:instrText>
      </w:r>
      <w:r>
        <w:rPr/>
        <w:fldChar w:fldCharType="separate"/>
      </w:r>
      <w:r>
        <w:rPr/>
      </w:r>
      <w:r>
        <w:rPr/>
        <w:fldChar w:fldCharType="end"/>
      </w:r>
      <w:r>
        <w:rPr>
          <w:sz w:val="22"/>
        </w:rPr>
        <w:t>.  In the event Purchaser determines that a defect or other breach of warranty exists, Purchaser shall immediately provide Seller with Notice of such a defect or other breach describing the nature of the defect or breach.</w:t>
      </w:r>
    </w:p>
    <w:p>
      <w:pPr>
        <w:pStyle w:val="Normal"/>
        <w:jc w:val="both"/>
        <w:rPr>
          <w:sz w:val="22"/>
        </w:rPr>
      </w:pPr>
      <w:r>
        <w:rPr>
          <w:sz w:val="22"/>
        </w:rPr>
      </w:r>
    </w:p>
    <w:p>
      <w:pPr>
        <w:pStyle w:val="Normal"/>
        <w:spacing w:lineRule="auto" w:line="300"/>
        <w:jc w:val="both"/>
        <w:rPr>
          <w:sz w:val="22"/>
          <w:u w:val="single"/>
        </w:rPr>
      </w:pPr>
      <w:r>
        <w:rPr>
          <w:sz w:val="22"/>
        </w:rPr>
        <w:t>14.2  Intentionally Deleted</w:t>
      </w:r>
    </w:p>
    <w:p>
      <w:pPr>
        <w:pStyle w:val="Normal"/>
        <w:spacing w:lineRule="auto" w:line="300"/>
        <w:rPr>
          <w:sz w:val="22"/>
          <w:u w:val="single"/>
        </w:rPr>
      </w:pPr>
      <w:r>
        <w:rPr>
          <w:sz w:val="22"/>
          <w:u w:val="single"/>
        </w:rPr>
      </w:r>
    </w:p>
    <w:p>
      <w:pPr>
        <w:pStyle w:val="Normal"/>
        <w:spacing w:lineRule="auto" w:line="300"/>
        <w:jc w:val="both"/>
        <w:rPr/>
      </w:pPr>
      <w:r>
        <w:rPr>
          <w:sz w:val="22"/>
        </w:rPr>
        <w:t xml:space="preserve">14.3   </w:t>
      </w:r>
      <w:r>
        <w:rPr>
          <w:sz w:val="22"/>
          <w:u w:val="single"/>
        </w:rPr>
        <w:t>Remedy</w:t>
      </w:r>
      <w:r>
        <w:fldChar w:fldCharType="begin"/>
      </w:r>
      <w:r>
        <w:rPr/>
        <w:instrText xml:space="preserve"> TC "14.3   Remedy" \l 2 </w:instrText>
      </w:r>
      <w:r>
        <w:rPr/>
        <w:fldChar w:fldCharType="separate"/>
      </w:r>
      <w:r>
        <w:rPr/>
      </w:r>
      <w:r>
        <w:rPr/>
        <w:fldChar w:fldCharType="end"/>
      </w:r>
      <w:r>
        <w:rPr>
          <w:sz w:val="22"/>
        </w:rPr>
        <w:t>.</w:t>
      </w:r>
    </w:p>
    <w:p>
      <w:pPr>
        <w:pStyle w:val="Normal"/>
        <w:spacing w:lineRule="auto" w:line="300"/>
        <w:jc w:val="both"/>
        <w:rPr>
          <w:sz w:val="22"/>
        </w:rPr>
      </w:pPr>
      <w:r>
        <w:rPr>
          <w:sz w:val="22"/>
        </w:rPr>
      </w:r>
    </w:p>
    <w:p>
      <w:pPr>
        <w:pStyle w:val="Normal"/>
        <w:spacing w:lineRule="auto" w:line="300"/>
        <w:jc w:val="both"/>
        <w:rPr/>
      </w:pPr>
      <w:r>
        <w:rPr>
          <w:sz w:val="22"/>
        </w:rPr>
        <w:t xml:space="preserve">14.3.1   </w:t>
      </w:r>
      <w:r>
        <w:rPr>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r>
        <w:rPr>
          <w:sz w:val="22"/>
        </w:rPr>
        <w:t>.  During the Primary Warranty Period, if  Seller’s warranties are breached, Seller shall repair, replace, and/or correct the applicable portion of the Scope of Work such that it meets the requirements of this Agreement at no cost to Purchaser.  Seller shall begin corrective action on the Equipment as soon as reasonably possible after receipt by Seller of Purchaser's notice referred to in Section 14.1.3 but not later that five (5) days after receipt of such notice.  Seller shall as its sole expense disassemble, remove, replace and reinstall the Equipment to the extent necessary while commercially reasonable efforts to minimize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materially alter conformance with the Specification may be made only with prior written approval of Purchaser, provided that such approval shall not be unreasonably withheld.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Normal"/>
        <w:spacing w:lineRule="auto" w:line="300"/>
        <w:jc w:val="both"/>
        <w:rPr>
          <w:sz w:val="22"/>
        </w:rPr>
      </w:pPr>
      <w:r>
        <w:rPr>
          <w:sz w:val="22"/>
        </w:rPr>
      </w:r>
    </w:p>
    <w:p>
      <w:pPr>
        <w:pStyle w:val="Normal"/>
        <w:spacing w:lineRule="auto" w:line="300"/>
        <w:jc w:val="both"/>
        <w:rPr/>
      </w:pPr>
      <w:r>
        <w:rPr>
          <w:sz w:val="22"/>
        </w:rPr>
        <w:t xml:space="preserve">14.3.2   </w:t>
      </w:r>
      <w:r>
        <w:rPr>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r>
        <w:rPr>
          <w:sz w:val="22"/>
        </w:rPr>
        <w:t xml:space="preserve">.  With respect to any portion of the Equipment corrected, repaired, modified or replaced as a result of a defect manifesting during the Primary Warranty Period, Seller shall warrant such portion of the Equipment for the remainder of the Primary Warranty Period. </w:t>
      </w:r>
    </w:p>
    <w:p>
      <w:pPr>
        <w:pStyle w:val="Normal"/>
        <w:spacing w:lineRule="auto" w:line="300"/>
        <w:jc w:val="both"/>
        <w:rPr>
          <w:sz w:val="22"/>
        </w:rPr>
      </w:pPr>
      <w:r>
        <w:rPr>
          <w:sz w:val="22"/>
        </w:rPr>
      </w:r>
    </w:p>
    <w:p>
      <w:pPr>
        <w:pStyle w:val="Normal"/>
        <w:spacing w:lineRule="auto" w:line="300"/>
        <w:jc w:val="both"/>
        <w:rPr/>
      </w:pPr>
      <w:r>
        <w:rPr>
          <w:sz w:val="22"/>
        </w:rPr>
        <w:t xml:space="preserve">14.3.3 </w:t>
      </w:r>
      <w:r>
        <w:rPr>
          <w:sz w:val="22"/>
          <w:u w:val="single"/>
        </w:rPr>
        <w:t>Obligation to Improve Performance.</w:t>
      </w:r>
      <w:r>
        <w:rPr>
          <w:sz w:val="22"/>
        </w:rPr>
        <w:t xml:space="preserve">  If the Performance Test should indicate that a Unit has met the Performance Standards with the exception of Power Output/kW, then for a period of 30 days following the Performance Test Seller shall have the obligation to use reasonable efforts to improve performance so that the Power Output/kW Performance Standard is met. Such efforts shall be at Seller’s sole cost and risk. Seller shall provide Purchaser [ ] days notice prior to retest, which shall be scheduled by Purchaser within [ ]days following such notice. </w:t>
      </w:r>
    </w:p>
    <w:p>
      <w:pPr>
        <w:pStyle w:val="Normal"/>
        <w:spacing w:lineRule="auto" w:line="300"/>
        <w:jc w:val="both"/>
        <w:rPr>
          <w:sz w:val="22"/>
        </w:rPr>
      </w:pPr>
      <w:r>
        <w:rPr>
          <w:sz w:val="22"/>
        </w:rPr>
      </w:r>
    </w:p>
    <w:p>
      <w:pPr>
        <w:pStyle w:val="Normal"/>
        <w:numPr>
          <w:ilvl w:val="2"/>
          <w:numId w:val="3"/>
        </w:numPr>
        <w:tabs>
          <w:tab w:val="clear" w:pos="720"/>
          <w:tab w:val="left" w:pos="0" w:leader="none"/>
        </w:tabs>
        <w:spacing w:lineRule="auto" w:line="300"/>
        <w:ind w:hanging="0" w:start="0" w:end="0"/>
        <w:jc w:val="both"/>
        <w:rPr>
          <w:color w:val="FF0000"/>
          <w:sz w:val="22"/>
        </w:rPr>
      </w:pPr>
      <w:r>
        <w:rPr>
          <w:sz w:val="22"/>
          <w:u w:val="single"/>
        </w:rPr>
        <w:t>Reduced Purchase Amount for Failing to Meet Guaranteed Electrical Output.</w:t>
      </w:r>
      <w:r>
        <w:rPr>
          <w:sz w:val="22"/>
        </w:rPr>
        <w:t xml:space="preserve">  Should the Performance Test of a Unit demonstrate that the Unit has met the Performance Standards except for the Power Output/kW Performance Standard, the Purchase Amount related to that Unit shall be reduced by the percent by which the Unit fails to meet the Power Output/kW Performance Standard. Seller shall within 30 days refund any prior payment received for the Unit in excess of the reduced Purchase Amount. </w:t>
      </w:r>
    </w:p>
    <w:p>
      <w:pPr>
        <w:pStyle w:val="Normal"/>
        <w:spacing w:lineRule="auto" w:line="300"/>
        <w:jc w:val="both"/>
        <w:rPr>
          <w:color w:val="FF0000"/>
          <w:sz w:val="22"/>
        </w:rPr>
      </w:pPr>
      <w:r>
        <w:rPr>
          <w:color w:val="FF0000"/>
          <w:sz w:val="22"/>
        </w:rPr>
      </w:r>
    </w:p>
    <w:p>
      <w:pPr>
        <w:pStyle w:val="Normal"/>
        <w:spacing w:lineRule="auto" w:line="300"/>
        <w:jc w:val="both"/>
        <w:rPr/>
      </w:pPr>
      <w:r>
        <w:rPr>
          <w:sz w:val="22"/>
          <w:u w:val="single"/>
        </w:rPr>
        <w:t>14.3.5 Remedy for Failures to Meet Performance Standards.</w:t>
      </w:r>
      <w:r>
        <w:fldChar w:fldCharType="begin"/>
      </w:r>
      <w:r>
        <w:rPr/>
        <w:instrText xml:space="preserve"> TC "10.5.3   Remedy for Failures to Meet Minimum Electrical Losses Guarantee" \l 3 </w:instrText>
      </w:r>
      <w:r>
        <w:rPr/>
        <w:fldChar w:fldCharType="separate"/>
      </w:r>
      <w:r>
        <w:rPr/>
      </w:r>
      <w:r>
        <w:rPr/>
        <w:fldChar w:fldCharType="end"/>
      </w:r>
      <w:r>
        <w:rPr>
          <w:sz w:val="22"/>
        </w:rPr>
        <w:t xml:space="preserve">  The failure to achieve the Performance Standards by the Acceptance Deadline [to be defined] shall constitute a default under this Agreement, and Purchaser shall have the remedies specified in Article [].</w:t>
      </w:r>
    </w:p>
    <w:p>
      <w:pPr>
        <w:pStyle w:val="Normal"/>
        <w:spacing w:lineRule="auto" w:line="300"/>
        <w:jc w:val="both"/>
        <w:rPr>
          <w:sz w:val="22"/>
        </w:rPr>
      </w:pPr>
      <w:r>
        <w:rPr>
          <w:sz w:val="22"/>
        </w:rPr>
      </w:r>
    </w:p>
    <w:p>
      <w:pPr>
        <w:pStyle w:val="Normal"/>
        <w:spacing w:lineRule="auto" w:line="300"/>
        <w:jc w:val="both"/>
        <w:rPr/>
      </w:pPr>
      <w:r>
        <w:rPr>
          <w:sz w:val="22"/>
        </w:rPr>
        <w:t xml:space="preserve">14.4  </w:t>
      </w:r>
      <w:r>
        <w:rPr>
          <w:sz w:val="22"/>
          <w:u w:val="single"/>
        </w:rPr>
        <w:t>Stack Module Warranty</w:t>
      </w:r>
      <w:r>
        <w:fldChar w:fldCharType="begin"/>
      </w:r>
      <w:r>
        <w:rPr/>
        <w:instrText xml:space="preserve"> TC "14.2   Extended Warranty Period" \l 2 </w:instrText>
      </w:r>
      <w:r>
        <w:rPr/>
        <w:fldChar w:fldCharType="separate"/>
      </w:r>
      <w:r>
        <w:rPr/>
      </w:r>
      <w:r>
        <w:rPr/>
        <w:fldChar w:fldCharType="end"/>
      </w:r>
      <w:r>
        <w:rPr>
          <w:sz w:val="22"/>
        </w:rPr>
        <w:t>. In addition to the other warranties contained herein, Seller warrants that for a period of thirty-six (36) months following Acceptance or forty-eight (48) months following delivery, whichever comes first, the combined measured Electrical Output and [efficiency –defn] of the Stack Modules shall equal __ of the Output and Efficiency measured at the best Performance Test of the Unit performed prior to Acceptance. Should the Stack Modules fail to perform in accordance with the foregoing, Seller shall replace the non-performing Stack Module (including ordinary removal of the old Stack Module and ordinary Installation of the new one).  The cost of the replacement shall be prorated based on the percentage of the Stack Module Warranty period completed at the time of such failure (for example, if a failure occurs two years after Acceptance, Purchaser shall pay 2/3 of the replacement cost).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spacing w:lineRule="auto" w:line="300"/>
        <w:jc w:val="both"/>
        <w:rPr>
          <w:sz w:val="22"/>
        </w:rPr>
      </w:pPr>
      <w:r>
        <w:rPr>
          <w:sz w:val="22"/>
        </w:rPr>
      </w:r>
    </w:p>
    <w:p>
      <w:pPr>
        <w:pStyle w:val="Normal"/>
        <w:spacing w:lineRule="auto" w:line="300"/>
        <w:jc w:val="both"/>
        <w:rPr>
          <w:sz w:val="22"/>
        </w:rPr>
      </w:pPr>
      <w:r>
        <w:rPr>
          <w:sz w:val="22"/>
        </w:rPr>
        <w:t xml:space="preserve">14.5   </w:t>
      </w:r>
      <w:r>
        <w:rPr>
          <w:sz w:val="22"/>
          <w:u w:val="single"/>
        </w:rPr>
        <w:t>Intentionally Deleted</w:t>
      </w:r>
    </w:p>
    <w:p>
      <w:pPr>
        <w:pStyle w:val="BodyText"/>
        <w:rPr>
          <w:sz w:val="22"/>
        </w:rPr>
      </w:pPr>
      <w:r>
        <w:rPr>
          <w:sz w:val="22"/>
        </w:rPr>
      </w:r>
    </w:p>
    <w:p>
      <w:pPr>
        <w:pStyle w:val="Normal"/>
        <w:spacing w:lineRule="auto" w:line="300"/>
        <w:jc w:val="both"/>
        <w:rPr/>
      </w:pPr>
      <w:r>
        <w:rPr>
          <w:sz w:val="22"/>
        </w:rPr>
        <w:t xml:space="preserve">14.6   </w:t>
      </w:r>
      <w:r>
        <w:rPr>
          <w:sz w:val="22"/>
          <w:u w:val="single"/>
        </w:rPr>
        <w:t>Vendor Warranty</w:t>
      </w:r>
      <w:r>
        <w:fldChar w:fldCharType="begin"/>
      </w:r>
      <w:r>
        <w:rPr/>
        <w:instrText xml:space="preserve"> TC "14.4   Vendor Warranty" \l 2 </w:instrText>
      </w:r>
      <w:r>
        <w:rPr/>
        <w:fldChar w:fldCharType="separate"/>
      </w:r>
      <w:r>
        <w:rPr/>
      </w:r>
      <w:r>
        <w:rPr/>
        <w:fldChar w:fldCharType="end"/>
      </w:r>
      <w:r>
        <w:rPr>
          <w:sz w:val="22"/>
        </w:rPr>
        <w:t xml:space="preserve">.  Seller shall be responsible for enforcing the warranties of all Vendors through the Primary Warranty Period.  In the event of Seller insolvency or Purchaser's termination of Seller for default, Vendor warranties shall automatically be assigned to Purchaser.  Any Vendor warranties that are still in existence at the end of the Primary Warranty Period shall automatically be assigned on such date to Purchaser.  Thereafter, Seller shall provide reasonable assistance to Purchaser in connection with the enforcement by Purchaser of any Vendor warranty. </w:t>
      </w:r>
    </w:p>
    <w:p>
      <w:pPr>
        <w:pStyle w:val="Normal"/>
        <w:spacing w:lineRule="auto" w:line="300"/>
        <w:jc w:val="both"/>
        <w:rPr>
          <w:sz w:val="22"/>
        </w:rPr>
      </w:pPr>
      <w:r>
        <w:rPr>
          <w:sz w:val="22"/>
        </w:rPr>
      </w:r>
    </w:p>
    <w:p>
      <w:pPr>
        <w:pStyle w:val="Normal"/>
        <w:spacing w:lineRule="auto" w:line="300"/>
        <w:jc w:val="both"/>
        <w:rPr/>
      </w:pPr>
      <w:r>
        <w:rPr>
          <w:sz w:val="22"/>
        </w:rPr>
        <w:t xml:space="preserve">14.7   </w:t>
      </w:r>
      <w:r>
        <w:rPr>
          <w:sz w:val="22"/>
          <w:u w:val="single"/>
        </w:rPr>
        <w:t>Limited Warranty</w:t>
      </w:r>
      <w:r>
        <w:fldChar w:fldCharType="begin"/>
      </w:r>
      <w:r>
        <w:rPr/>
        <w:instrText xml:space="preserve"> TC "14.5   Limited Warranty" \l 2 </w:instrText>
      </w:r>
      <w:r>
        <w:rPr/>
        <w:fldChar w:fldCharType="separate"/>
      </w:r>
      <w:r>
        <w:rPr/>
      </w:r>
      <w:r>
        <w:rPr/>
        <w:fldChar w:fldCharType="end"/>
      </w:r>
      <w:r>
        <w:rPr>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spacing w:lineRule="auto" w:line="300"/>
        <w:jc w:val="both"/>
        <w:rPr>
          <w:sz w:val="22"/>
        </w:rPr>
      </w:pPr>
      <w:r>
        <w:rPr>
          <w:sz w:val="22"/>
        </w:rPr>
      </w:r>
    </w:p>
    <w:p>
      <w:pPr>
        <w:pStyle w:val="Normal"/>
        <w:spacing w:lineRule="auto" w:line="300"/>
        <w:jc w:val="both"/>
        <w:rPr/>
      </w:pPr>
      <w:r>
        <w:rPr>
          <w:sz w:val="22"/>
        </w:rPr>
        <w:t xml:space="preserve">14.8   </w:t>
      </w:r>
      <w:r>
        <w:rPr>
          <w:sz w:val="22"/>
          <w:u w:val="single"/>
        </w:rPr>
        <w:t>Defective Equipment</w:t>
      </w:r>
      <w:r>
        <w:fldChar w:fldCharType="begin"/>
      </w:r>
      <w:r>
        <w:rPr/>
        <w:instrText xml:space="preserve"> TC "14.6   Defective Equipment" \l 2 </w:instrText>
      </w:r>
      <w:r>
        <w:rPr/>
        <w:fldChar w:fldCharType="separate"/>
      </w:r>
      <w:r>
        <w:rPr/>
      </w:r>
      <w:r>
        <w:rPr/>
        <w:fldChar w:fldCharType="end"/>
      </w:r>
      <w:r>
        <w:rPr>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spacing w:lineRule="auto" w:line="300"/>
        <w:jc w:val="both"/>
        <w:rPr>
          <w:sz w:val="22"/>
        </w:rPr>
      </w:pPr>
      <w:r>
        <w:rPr>
          <w:sz w:val="22"/>
        </w:rPr>
      </w:r>
    </w:p>
    <w:p>
      <w:pPr>
        <w:pStyle w:val="Normal"/>
        <w:spacing w:lineRule="auto" w:line="300"/>
        <w:jc w:val="both"/>
        <w:rPr/>
      </w:pPr>
      <w:r>
        <w:rPr>
          <w:sz w:val="22"/>
        </w:rPr>
        <w:t xml:space="preserve">14.9   </w:t>
      </w:r>
      <w:r>
        <w:rPr>
          <w:sz w:val="22"/>
          <w:u w:val="single"/>
        </w:rPr>
        <w:t>Termination of Warranty</w:t>
      </w:r>
      <w:r>
        <w:fldChar w:fldCharType="begin"/>
      </w:r>
      <w:r>
        <w:rPr/>
        <w:instrText xml:space="preserve"> TC "14.7   Termination of Warranty" \l 2 </w:instrText>
      </w:r>
      <w:r>
        <w:rPr/>
        <w:fldChar w:fldCharType="separate"/>
      </w:r>
      <w:r>
        <w:rPr/>
      </w:r>
      <w:r>
        <w:rPr/>
        <w:fldChar w:fldCharType="end"/>
      </w:r>
      <w:r>
        <w:rPr>
          <w:sz w:val="22"/>
        </w:rPr>
        <w:t>.  In the event that Purchaser or a third party undertakes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jc w:val="both"/>
        <w:rPr>
          <w:sz w:val="22"/>
        </w:rPr>
      </w:pPr>
      <w:r>
        <w:rPr>
          <w:sz w:val="22"/>
        </w:rPr>
      </w:r>
    </w:p>
    <w:p>
      <w:pPr>
        <w:pStyle w:val="Normal"/>
        <w:tabs>
          <w:tab w:val="clear" w:pos="720"/>
          <w:tab w:val="left" w:pos="-1440" w:leader="none"/>
        </w:tabs>
        <w:ind w:hanging="720" w:start="1440" w:end="0"/>
        <w:jc w:val="both"/>
        <w:rPr>
          <w:sz w:val="22"/>
        </w:rPr>
      </w:pPr>
      <w:r>
        <w:rPr>
          <w:sz w:val="22"/>
        </w:rPr>
        <w:t>(i)</w:t>
        <w:tab/>
        <w:t>immediately take reasonable action to mitigate the damage consequent to the occurrence of the defect; and</w:t>
      </w:r>
    </w:p>
    <w:p>
      <w:pPr>
        <w:pStyle w:val="Normal"/>
        <w:tabs>
          <w:tab w:val="clear" w:pos="720"/>
          <w:tab w:val="left" w:pos="-1440" w:leader="none"/>
        </w:tabs>
        <w:ind w:hanging="720" w:start="1440" w:end="0"/>
        <w:jc w:val="both"/>
        <w:rPr>
          <w:sz w:val="22"/>
        </w:rPr>
      </w:pPr>
      <w:r>
        <w:rPr>
          <w:sz w:val="22"/>
        </w:rPr>
        <w:t>(ii)</w:t>
        <w:tab/>
        <w:t>allow Seller to correct the defect,</w:t>
      </w:r>
    </w:p>
    <w:p>
      <w:pPr>
        <w:pStyle w:val="Normal"/>
        <w:jc w:val="both"/>
        <w:rPr>
          <w:sz w:val="22"/>
        </w:rPr>
      </w:pPr>
      <w:r>
        <w:rPr>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spacing w:lineRule="auto" w:line="300"/>
        <w:jc w:val="both"/>
        <w:rPr>
          <w:rFonts w:ascii="Times New Roman" w:hAnsi="Times New Roman" w:cs="Times New Roman"/>
          <w:sz w:val="22"/>
        </w:rPr>
      </w:pPr>
      <w:r>
        <w:rPr>
          <w:rFonts w:cs="Times New Roman"/>
          <w:sz w:val="22"/>
        </w:rPr>
      </w:r>
    </w:p>
    <w:p>
      <w:pPr>
        <w:pStyle w:val="Normal"/>
        <w:spacing w:lineRule="auto" w:line="300"/>
        <w:jc w:val="both"/>
        <w:rPr/>
      </w:pPr>
      <w:r>
        <w:rPr>
          <w:sz w:val="22"/>
        </w:rPr>
        <w:t xml:space="preserve">14.10   </w:t>
      </w:r>
      <w:r>
        <w:rPr>
          <w:sz w:val="22"/>
          <w:u w:val="single"/>
        </w:rPr>
        <w:t>Intentionally Deleted.</w:t>
      </w:r>
      <w:r>
        <w:rPr>
          <w:sz w:val="22"/>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440"/>
        </w:tabs>
        <w:ind w:start="1440" w:hanging="720"/>
      </w:pPr>
      <w:rPr/>
    </w:lvl>
  </w:abstractNum>
  <w:abstractNum w:abstractNumId="3">
    <w:lvl w:ilvl="0">
      <w:start w:val="14"/>
      <w:numFmt w:val="decimal"/>
      <w:lvlText w:val="%1"/>
      <w:lvlJc w:val="start"/>
      <w:pPr>
        <w:tabs>
          <w:tab w:val="num" w:pos="780"/>
        </w:tabs>
        <w:ind w:start="780" w:hanging="780"/>
      </w:pPr>
      <w:rPr>
        <w:color w:val="auto"/>
      </w:rPr>
    </w:lvl>
    <w:lvl w:ilvl="1">
      <w:start w:val="3"/>
      <w:numFmt w:val="decimal"/>
      <w:lvlText w:val="%1.%2"/>
      <w:lvlJc w:val="start"/>
      <w:pPr>
        <w:tabs>
          <w:tab w:val="num" w:pos="780"/>
        </w:tabs>
        <w:ind w:start="780" w:hanging="780"/>
      </w:pPr>
      <w:rPr>
        <w:color w:val="auto"/>
      </w:rPr>
    </w:lvl>
    <w:lvl w:ilvl="2">
      <w:start w:val="4"/>
      <w:numFmt w:val="decimal"/>
      <w:lvlText w:val="%1.%2.%3"/>
      <w:lvlJc w:val="start"/>
      <w:pPr>
        <w:tabs>
          <w:tab w:val="num" w:pos="780"/>
        </w:tabs>
        <w:ind w:start="780" w:hanging="780"/>
      </w:pPr>
      <w:rPr>
        <w:color w:val="auto"/>
      </w:rPr>
    </w:lvl>
    <w:lvl w:ilvl="3">
      <w:start w:val="1"/>
      <w:numFmt w:val="decimal"/>
      <w:lvlText w:val="%1.%2.%3.%4"/>
      <w:lvlJc w:val="start"/>
      <w:pPr>
        <w:tabs>
          <w:tab w:val="num" w:pos="780"/>
        </w:tabs>
        <w:ind w:start="780" w:hanging="780"/>
      </w:pPr>
      <w:rPr>
        <w:color w:val="auto"/>
      </w:rPr>
    </w:lvl>
    <w:lvl w:ilvl="4">
      <w:start w:val="1"/>
      <w:numFmt w:val="decimal"/>
      <w:lvlText w:val="%1.%2.%3.%4.%5"/>
      <w:lvlJc w:val="start"/>
      <w:pPr>
        <w:tabs>
          <w:tab w:val="num" w:pos="1080"/>
        </w:tabs>
        <w:ind w:start="1080" w:hanging="1080"/>
      </w:pPr>
      <w:rPr>
        <w:color w:val="auto"/>
      </w:rPr>
    </w:lvl>
    <w:lvl w:ilvl="5">
      <w:start w:val="1"/>
      <w:numFmt w:val="decimal"/>
      <w:lvlText w:val="%1.%2.%3.%4.%5.%6"/>
      <w:lvlJc w:val="start"/>
      <w:pPr>
        <w:tabs>
          <w:tab w:val="num" w:pos="1080"/>
        </w:tabs>
        <w:ind w:start="1080" w:hanging="1080"/>
      </w:pPr>
      <w:rPr>
        <w:color w:val="auto"/>
      </w:rPr>
    </w:lvl>
    <w:lvl w:ilvl="6">
      <w:start w:val="1"/>
      <w:numFmt w:val="decimal"/>
      <w:lvlText w:val="%1.%2.%3.%4.%5.%6.%7"/>
      <w:lvlJc w:val="start"/>
      <w:pPr>
        <w:tabs>
          <w:tab w:val="num" w:pos="1440"/>
        </w:tabs>
        <w:ind w:start="1440" w:hanging="1440"/>
      </w:pPr>
      <w:rPr>
        <w:color w:val="auto"/>
      </w:rPr>
    </w:lvl>
    <w:lvl w:ilvl="7">
      <w:start w:val="1"/>
      <w:numFmt w:val="decimal"/>
      <w:lvlText w:val="%1.%2.%3.%4.%5.%6.%7.%8"/>
      <w:lvlJc w:val="start"/>
      <w:pPr>
        <w:tabs>
          <w:tab w:val="num" w:pos="1440"/>
        </w:tabs>
        <w:ind w:start="1440" w:hanging="1440"/>
      </w:pPr>
      <w:rPr>
        <w:color w:val="auto"/>
      </w:rPr>
    </w:lvl>
    <w:lvl w:ilvl="8">
      <w:start w:val="1"/>
      <w:numFmt w:val="decimal"/>
      <w:lvlText w:val="%1.%2.%3.%4.%5.%6.%7.%8.%9"/>
      <w:lvlJc w:val="start"/>
      <w:pPr>
        <w:tabs>
          <w:tab w:val="num" w:pos="1440"/>
        </w:tabs>
        <w:ind w:start="1440" w:hanging="1440"/>
      </w:pPr>
      <w:rPr>
        <w:color w:val="auto"/>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24"/>
    </w:rPr>
  </w:style>
  <w:style w:type="character" w:styleId="WW8Num1z0">
    <w:name w:val="WW8Num1z0"/>
    <w:qFormat/>
    <w:rPr/>
  </w:style>
  <w:style w:type="character" w:styleId="WW8Num2z0">
    <w:name w:val="WW8Num2z0"/>
    <w:qFormat/>
    <w:rPr/>
  </w:style>
  <w:style w:type="character" w:styleId="WW8Num3z0">
    <w:name w:val="WW8Num3z0"/>
    <w:qFormat/>
    <w:rPr>
      <w:u w:val="none"/>
    </w:rPr>
  </w:style>
  <w:style w:type="character" w:styleId="WW8Num4z0">
    <w:name w:val="WW8Num4z0"/>
    <w:qFormat/>
    <w:rPr>
      <w:color w:val="auto"/>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00"/>
      <w:jc w:val="both"/>
    </w:pPr>
    <w:rPr>
      <w:color w:val="FF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sz w:val="24"/>
    </w:rPr>
  </w:style>
  <w:style w:type="paragraph" w:styleId="BodyText3">
    <w:name w:val="Body Text 3"/>
    <w:basedOn w:val="Normal"/>
    <w:qFormat/>
    <w:pPr>
      <w:spacing w:lineRule="auto" w:line="300"/>
      <w:jc w:val="both"/>
    </w:pPr>
    <w:rPr>
      <w:rFonts w:ascii="Univers;Arial" w:hAnsi="Univers;Arial" w:cs="Univer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2000-10-31T14:43:00Z</dcterms:created>
  <dc:creator>Ross Levine</dc:creator>
  <dc:description/>
  <dc:language>en-CA</dc:language>
  <cp:lastModifiedBy>Ross Levine</cp:lastModifiedBy>
  <cp:lastPrinted>2000-10-31T08:56:00Z</cp:lastPrinted>
  <dcterms:modified xsi:type="dcterms:W3CDTF">2000-10-31T14:43:00Z</dcterms:modified>
  <cp:revision>2</cp:revision>
  <dc:subject/>
  <dc:title>ARTICLE X</dc:title>
</cp:coreProperties>
</file>