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4"/>
        </w:rPr>
      </w:pPr>
      <w:r>
        <w:rPr>
          <w:sz w:val="44"/>
        </w:rPr>
      </w:r>
    </w:p>
    <w:p>
      <w:pPr>
        <w:pStyle w:val="Heading"/>
        <w:rPr>
          <w:sz w:val="44"/>
        </w:rPr>
      </w:pPr>
      <w:r>
        <w:rPr>
          <w:sz w:val="44"/>
        </w:rPr>
      </w:r>
    </w:p>
    <w:p>
      <w:pPr>
        <w:pStyle w:val="Heading"/>
        <w:rPr>
          <w:sz w:val="44"/>
        </w:rPr>
      </w:pPr>
      <w:r>
        <w:rPr>
          <w:sz w:val="44"/>
        </w:rPr>
      </w:r>
    </w:p>
    <w:p>
      <w:pPr>
        <w:pStyle w:val="Heading"/>
        <w:rPr>
          <w:sz w:val="44"/>
        </w:rPr>
      </w:pPr>
      <w:r>
        <w:rPr>
          <w:sz w:val="44"/>
        </w:rPr>
        <w:t>Interconnection Requirements</w:t>
      </w:r>
    </w:p>
    <w:p>
      <w:pPr>
        <w:pStyle w:val="Heading"/>
        <w:rPr>
          <w:sz w:val="44"/>
        </w:rPr>
      </w:pPr>
      <w:r>
        <w:rPr>
          <w:sz w:val="44"/>
        </w:rPr>
        <w:t>For</w:t>
      </w:r>
    </w:p>
    <w:p>
      <w:pPr>
        <w:pStyle w:val="Heading"/>
        <w:rPr>
          <w:sz w:val="44"/>
        </w:rPr>
      </w:pPr>
      <w:r>
        <w:rPr>
          <w:sz w:val="44"/>
        </w:rPr>
        <w:t>ENRON’s Unit Additions at the NPC LVCOGEN 138 kV Substation</w:t>
      </w:r>
    </w:p>
    <w:p>
      <w:pPr>
        <w:pStyle w:val="Heading"/>
        <w:rPr>
          <w:sz w:val="44"/>
        </w:rPr>
      </w:pPr>
      <w:r>
        <w:rPr>
          <w:sz w:val="44"/>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72"/>
        </w:rPr>
      </w:pPr>
      <w:r>
        <w:rPr>
          <w:sz w:val="72"/>
        </w:rPr>
        <w:t>Addendum #2 to</w:t>
      </w:r>
    </w:p>
    <w:p>
      <w:pPr>
        <w:pStyle w:val="Heading"/>
        <w:rPr>
          <w:sz w:val="72"/>
        </w:rPr>
      </w:pPr>
      <w:r>
        <w:rPr>
          <w:sz w:val="72"/>
        </w:rPr>
        <w:t>11/29/00</w:t>
      </w:r>
    </w:p>
    <w:p>
      <w:pPr>
        <w:pStyle w:val="Heading"/>
        <w:rPr>
          <w:sz w:val="72"/>
        </w:rPr>
      </w:pPr>
      <w:r>
        <w:rPr>
          <w:sz w:val="72"/>
        </w:rPr>
        <w:t>Report</w:t>
      </w:r>
    </w:p>
    <w:p>
      <w:pPr>
        <w:pStyle w:val="Heading"/>
        <w:rPr>
          <w:sz w:val="72"/>
        </w:rPr>
      </w:pPr>
      <w:r>
        <w:rPr>
          <w:sz w:val="72"/>
        </w:rPr>
      </w:r>
    </w:p>
    <w:p>
      <w:pPr>
        <w:pStyle w:val="Heading"/>
        <w:rPr>
          <w:sz w:val="72"/>
        </w:rPr>
      </w:pPr>
      <w:r>
        <w:rPr>
          <w:sz w:val="72"/>
        </w:rPr>
      </w:r>
    </w:p>
    <w:p>
      <w:pPr>
        <w:pStyle w:val="Heading"/>
        <w:rPr/>
      </w:pPr>
      <w:r>
        <w:rPr/>
      </w:r>
    </w:p>
    <w:p>
      <w:pPr>
        <w:pStyle w:val="Heading"/>
        <w:rPr/>
      </w:pPr>
      <w:r>
        <w:rPr/>
      </w:r>
    </w:p>
    <w:p>
      <w:pPr>
        <w:pStyle w:val="Heading"/>
        <w:rPr/>
      </w:pPr>
      <w:r>
        <w:rPr/>
      </w:r>
    </w:p>
    <w:p>
      <w:pPr>
        <w:pStyle w:val="Heading"/>
        <w:rPr/>
      </w:pPr>
      <w:r>
        <w:rPr/>
      </w:r>
    </w:p>
    <w:p>
      <w:pPr>
        <w:pStyle w:val="Heading"/>
        <w:rPr/>
      </w:pPr>
      <w:r>
        <w:rPr/>
        <w:t>March 8, 2001</w:t>
      </w:r>
    </w:p>
    <w:p>
      <w:pPr>
        <w:pStyle w:val="Heading"/>
        <w:rPr>
          <w:b w:val="false"/>
        </w:rPr>
      </w:pPr>
      <w:r>
        <w:rPr>
          <w:b w:val="false"/>
        </w:rPr>
        <w:t>Marty Fisher</w:t>
      </w:r>
    </w:p>
    <w:p>
      <w:pPr>
        <w:pStyle w:val="BodyText"/>
        <w:jc w:val="center"/>
        <w:rPr>
          <w:b/>
          <w:sz w:val="32"/>
        </w:rPr>
      </w:pPr>
      <w:r>
        <w:rPr>
          <w:b/>
          <w:sz w:val="32"/>
        </w:rPr>
        <w:t>Nevada Power Company</w:t>
      </w:r>
    </w:p>
    <w:p>
      <w:pPr>
        <w:pStyle w:val="BodyText"/>
        <w:rPr>
          <w:rFonts w:eastAsia="Arial"/>
          <w:b/>
          <w:sz w:val="32"/>
        </w:rPr>
      </w:pPr>
      <w:r>
        <w:rPr>
          <w:rFonts w:eastAsia="Arial"/>
          <w:b/>
          <w:sz w:val="32"/>
        </w:rPr>
        <w:t xml:space="preserve"> </w:t>
      </w:r>
      <w:r>
        <w:br w:type="page"/>
      </w:r>
    </w:p>
    <w:p>
      <w:pPr>
        <w:pStyle w:val="BodyText"/>
        <w:rPr>
          <w:b/>
          <w:u w:val="single"/>
        </w:rPr>
      </w:pPr>
      <w:r>
        <w:rPr>
          <w:b/>
          <w:u w:val="single"/>
        </w:rPr>
        <w:t>Addendum:</w:t>
      </w:r>
    </w:p>
    <w:p>
      <w:pPr>
        <w:pStyle w:val="BodyText"/>
        <w:rPr>
          <w:b/>
          <w:u w:val="single"/>
        </w:rPr>
      </w:pPr>
      <w:r>
        <w:rPr>
          <w:b/>
          <w:u w:val="single"/>
        </w:rPr>
      </w:r>
    </w:p>
    <w:p>
      <w:pPr>
        <w:pStyle w:val="BodyText"/>
        <w:rPr/>
      </w:pPr>
      <w:r>
        <w:rPr/>
        <w:t xml:space="preserve">Since the submittal of the 11/29/00 report and the 1/10/01 Addendum report,  Nevada Power Company has elected to proceed with a new IPP service plan. This plan includes new 500 kV facilities instead of several new 230/138 kV facilities.  This new plan provides a much larger step in capacity to deliver all proposed IPP energy to Mead and McCullough substations and the California energy market.  </w:t>
      </w:r>
    </w:p>
    <w:p>
      <w:pPr>
        <w:pStyle w:val="BodyText"/>
        <w:rPr/>
      </w:pPr>
      <w:r>
        <w:rPr/>
      </w:r>
    </w:p>
    <w:p>
      <w:pPr>
        <w:pStyle w:val="BodyText"/>
        <w:rPr/>
      </w:pPr>
      <w:r>
        <w:rPr/>
        <w:t xml:space="preserve">This new study model represents the 2002 Heavy Summer system and contains 3000MW of proposed IPP generation connected to a new Harry Allen 500 kV bus.  The previous study queue, with 2600 MW of new IPP units online before the ENRON addition was not followed for these studies.  The Harry Allen 230 kV South Path (North to South) power flow limit for this case was defined as 1511.6 MW. A primary concern with this study was not to degrade the Harry Allen South Path. The maximization of the Harry Allen South Path North to South flow is known to maximize the Southern Nevada Control Area import capability. </w:t>
      </w:r>
    </w:p>
    <w:p>
      <w:pPr>
        <w:pStyle w:val="BodyText"/>
        <w:rPr/>
      </w:pPr>
      <w:r>
        <w:rPr/>
      </w:r>
    </w:p>
    <w:p>
      <w:pPr>
        <w:pStyle w:val="BodyText"/>
        <w:rPr/>
      </w:pPr>
      <w:r>
        <w:rPr/>
        <w:t xml:space="preserve">Based on this new plan, the desired alternative was analyzed based on performance and cost.  Alternative J achieves the study goals and becomes the recommended alternative by NPC.  It is shown on </w:t>
      </w:r>
      <w:r>
        <w:rPr>
          <w:b/>
        </w:rPr>
        <w:t>Diagram #6</w:t>
      </w:r>
      <w:r>
        <w:rPr/>
        <w:t xml:space="preserve">  </w:t>
      </w:r>
    </w:p>
    <w:p>
      <w:pPr>
        <w:pStyle w:val="BodyText"/>
        <w:rPr/>
      </w:pPr>
      <w:r>
        <w:rPr/>
      </w:r>
    </w:p>
    <w:p>
      <w:pPr>
        <w:pStyle w:val="BodyText"/>
        <w:rPr/>
      </w:pPr>
      <w:r>
        <w:rPr/>
        <w:t>Alternative J requirements involve upgrading transmission facilities which overload when the ENRON addition is made to the new  model with 500 kV (</w:t>
      </w:r>
      <w:r>
        <w:rPr>
          <w:b/>
        </w:rPr>
        <w:t>Table #7</w:t>
      </w:r>
      <w:r>
        <w:rPr/>
        <w:t xml:space="preserve">).  </w:t>
      </w:r>
      <w:r>
        <w:rPr>
          <w:b/>
        </w:rPr>
        <w:t>Table #8</w:t>
      </w:r>
      <w:r>
        <w:rPr/>
        <w:t xml:space="preserve"> shows the overloads seen with the addition of the six new ENRON units.  </w:t>
      </w:r>
      <w:r>
        <w:rPr>
          <w:b/>
        </w:rPr>
        <w:t>Table #9</w:t>
      </w:r>
      <w:r>
        <w:rPr/>
        <w:t xml:space="preserve"> shows the overloads seen with the addition of the six new ENRON units and the required reconductor of the Craig-LVCOGEN-Highland 138 kV line to 954ACSS.  Some of the overloaded lines on these three tables are pre-existing problems which ENRON is not be responsible for.  </w:t>
      </w:r>
    </w:p>
    <w:p>
      <w:pPr>
        <w:pStyle w:val="BodyText"/>
        <w:rPr/>
      </w:pPr>
      <w:r>
        <w:rPr/>
      </w:r>
    </w:p>
    <w:p>
      <w:pPr>
        <w:pStyle w:val="BodyText"/>
        <w:rPr/>
      </w:pPr>
      <w:r>
        <w:rPr/>
        <w:t xml:space="preserve">Those facilities required due to the ENRON 230MW unit additions are shown in blue and green.  This alternative with its system reinforcements, does not reduce the Harry Allen South Path (North to South) power flow limit.  The estimated cost to construct this alternative is </w:t>
      </w:r>
      <w:r>
        <w:rPr>
          <w:b/>
          <w:color w:val="FF0000"/>
        </w:rPr>
        <w:t>$2,112,000</w:t>
      </w:r>
      <w:r>
        <w:rPr/>
        <w:t>.  This total, is comprised of:</w:t>
      </w:r>
    </w:p>
    <w:p>
      <w:pPr>
        <w:pStyle w:val="BodyText"/>
        <w:numPr>
          <w:ilvl w:val="0"/>
          <w:numId w:val="8"/>
        </w:numPr>
        <w:rPr>
          <w:lang w:eastAsia="en-US"/>
        </w:rPr>
      </w:pPr>
      <w:r>
        <w:rPr/>
        <w:t xml:space="preserve">$500,000 for LVCOGEN 138 kV substation work </w:t>
      </w:r>
      <w:r>
        <w:rPr>
          <w:lang w:eastAsia="en-US"/>
        </w:rPr>
        <w:t xml:space="preserve">(shown in blue), </w:t>
      </w:r>
    </w:p>
    <w:p>
      <w:pPr>
        <w:pStyle w:val="BodyText"/>
        <w:numPr>
          <w:ilvl w:val="0"/>
          <w:numId w:val="8"/>
        </w:numPr>
        <w:rPr>
          <w:lang w:eastAsia="en-US"/>
        </w:rPr>
      </w:pPr>
      <w:r>
        <w:rPr>
          <w:lang w:eastAsia="en-US"/>
        </w:rPr>
        <w:t xml:space="preserve">$1,349,000 for the CRAIG-LVCOGEN-HIGHLAND 138 kV line reconductor (shown in green), </w:t>
      </w:r>
    </w:p>
    <w:p>
      <w:pPr>
        <w:pStyle w:val="BodyText"/>
        <w:numPr>
          <w:ilvl w:val="0"/>
          <w:numId w:val="8"/>
        </w:numPr>
        <w:rPr/>
      </w:pPr>
      <w:r>
        <w:rPr>
          <w:lang w:eastAsia="en-US"/>
        </w:rPr>
        <w:t>$150,000 for the 138 kV line extension to the new step-up transformers (shown in blue), and</w:t>
      </w:r>
    </w:p>
    <w:p>
      <w:pPr>
        <w:pStyle w:val="BodyText"/>
        <w:numPr>
          <w:ilvl w:val="0"/>
          <w:numId w:val="8"/>
        </w:numPr>
        <w:rPr/>
      </w:pPr>
      <w:r>
        <w:rPr>
          <w:lang w:eastAsia="en-US"/>
        </w:rPr>
        <w:t xml:space="preserve">$113,000 to upgrade one 69kV under-rated breaker at Garces Substation (not shown). </w:t>
      </w:r>
      <w:r>
        <w:rPr/>
        <w:t xml:space="preserve">  </w:t>
      </w:r>
    </w:p>
    <w:p>
      <w:pPr>
        <w:pStyle w:val="BodyText"/>
        <w:rPr/>
      </w:pPr>
      <w:r>
        <w:rPr/>
      </w:r>
    </w:p>
    <w:p>
      <w:pPr>
        <w:pStyle w:val="BodyText"/>
        <w:rPr/>
      </w:pPr>
      <w:r>
        <w:rPr/>
        <w:t xml:space="preserve">The $113,000 cost is required to upgrade one 69kV under-rated breaker at Garces Substation (6904).  This requirement was obtained utilizing a different model which will represent the transmission facilities actually in place by the summer of 2002.  </w:t>
      </w:r>
      <w:r>
        <w:rPr>
          <w:lang w:eastAsia="en-US"/>
        </w:rPr>
        <w:t>Fault currents at Garces 6904 are 34.7 kA today.  The addition of 230MW generation at LVCOGEN to the 2002 system will increase the fault current to 35.5 kA. The 6904 PCB has a nameplate rating of 40 kA , but the breaker duty capacity is de-rated to 37.4kA due to re-closing requirements.  NPC Criteria limits the fault duty to 95% of breaker duty capability.  This limit is at 35.5 kA and no margin for future growth exists.</w:t>
      </w:r>
    </w:p>
    <w:p>
      <w:pPr>
        <w:pStyle w:val="BodyText"/>
        <w:rPr>
          <w:color w:val="0000FF"/>
          <w:lang w:eastAsia="en-US"/>
        </w:rPr>
      </w:pPr>
      <w:r>
        <w:rPr>
          <w:color w:val="0000FF"/>
          <w:lang w:eastAsia="en-US"/>
        </w:rPr>
      </w:r>
    </w:p>
    <w:p>
      <w:pPr>
        <w:pStyle w:val="BodyText"/>
        <w:rPr/>
      </w:pPr>
      <w:r>
        <w:rPr/>
        <w:t>All costs submitted in this report are subject to changes based on the detailed engineering design and actual construction requirements.</w:t>
      </w:r>
      <w:r>
        <w:rPr>
          <w:b/>
          <w:u w:val="single"/>
        </w:rPr>
        <w:t xml:space="preserve">  </w:t>
      </w:r>
    </w:p>
    <w:p>
      <w:pPr>
        <w:pStyle w:val="BodyText"/>
        <w:rPr>
          <w:b/>
          <w:u w:val="single"/>
        </w:rPr>
      </w:pPr>
      <w:r>
        <w:rPr>
          <w:b/>
          <w:u w:val="single"/>
        </w:rPr>
      </w:r>
    </w:p>
    <w:p>
      <w:pPr>
        <w:pStyle w:val="BodyText"/>
        <w:rPr/>
      </w:pPr>
      <w:r>
        <w:rPr/>
      </w:r>
    </w:p>
    <w:p>
      <w:pPr>
        <w:pStyle w:val="BodyText"/>
        <w:rPr>
          <w:lang w:eastAsia="en-US"/>
        </w:rPr>
      </w:pPr>
      <w:r>
        <w:rPr>
          <w:lang w:eastAsia="en-US"/>
        </w:rPr>
        <w:t>The cost estimates for Alternative J are based on the following assumptions:</w:t>
      </w:r>
    </w:p>
    <w:p>
      <w:pPr>
        <w:pStyle w:val="BodyText"/>
        <w:rPr>
          <w:lang w:eastAsia="en-US"/>
        </w:rPr>
      </w:pPr>
      <w:r>
        <w:rPr>
          <w:lang w:eastAsia="en-US"/>
        </w:rPr>
      </w:r>
    </w:p>
    <w:p>
      <w:pPr>
        <w:pStyle w:val="BodyText"/>
        <w:numPr>
          <w:ilvl w:val="0"/>
          <w:numId w:val="7"/>
        </w:numPr>
        <w:rPr/>
      </w:pPr>
      <w:r>
        <w:rPr>
          <w:lang w:eastAsia="en-US"/>
        </w:rPr>
        <w:t xml:space="preserve">A </w:t>
      </w:r>
      <w:r>
        <w:rPr>
          <w:b/>
          <w:lang w:eastAsia="en-US"/>
        </w:rPr>
        <w:t>16-Month</w:t>
      </w:r>
      <w:r>
        <w:rPr>
          <w:lang w:eastAsia="en-US"/>
        </w:rPr>
        <w:t xml:space="preserve"> minimum period is required to complete engineering, procurement, and construction</w:t>
      </w:r>
      <w:r>
        <w:rPr/>
        <w:t xml:space="preserve"> of the interconnection shown on </w:t>
      </w:r>
      <w:r>
        <w:rPr>
          <w:b/>
        </w:rPr>
        <w:t>Diagram #6</w:t>
      </w:r>
      <w:r>
        <w:rPr/>
        <w:t xml:space="preserve">.  </w:t>
      </w:r>
    </w:p>
    <w:p>
      <w:pPr>
        <w:pStyle w:val="BodyText"/>
        <w:rPr/>
      </w:pPr>
      <w:r>
        <w:rPr/>
      </w:r>
    </w:p>
    <w:p>
      <w:pPr>
        <w:pStyle w:val="BodyText"/>
        <w:numPr>
          <w:ilvl w:val="0"/>
          <w:numId w:val="2"/>
        </w:numPr>
        <w:rPr/>
      </w:pPr>
      <w:r>
        <w:rPr/>
        <w:t>A construction outage and subsequent unit outage to the existing 45MW LVCOGEN QF unit, would be required for t</w:t>
      </w:r>
      <w:r>
        <w:rPr>
          <w:lang w:eastAsia="en-US"/>
        </w:rPr>
        <w:t>he substation construction and for the reconductor of the two circuits along Alexander Road</w:t>
      </w:r>
      <w:r>
        <w:rPr/>
        <w:t xml:space="preserve">.  The minimum duration for this outage is estimated to be </w:t>
      </w:r>
      <w:r>
        <w:rPr>
          <w:b/>
        </w:rPr>
        <w:t>3 Weeks</w:t>
      </w:r>
      <w:r>
        <w:rPr/>
        <w:t xml:space="preserve">.  Reduction of this outage duration will require close examination of the construction details and potential cost increases such as overtime pay.  Craig Substation will be served radial from Pecos during this period.   </w:t>
      </w:r>
    </w:p>
    <w:p>
      <w:pPr>
        <w:pStyle w:val="BodyText"/>
        <w:rPr>
          <w:lang w:eastAsia="en-US"/>
        </w:rPr>
      </w:pPr>
      <w:r>
        <w:rPr>
          <w:lang w:eastAsia="en-US"/>
        </w:rPr>
      </w:r>
    </w:p>
    <w:p>
      <w:pPr>
        <w:pStyle w:val="BodyText"/>
        <w:numPr>
          <w:ilvl w:val="0"/>
          <w:numId w:val="7"/>
        </w:numPr>
        <w:rPr>
          <w:lang w:eastAsia="en-US"/>
        </w:rPr>
      </w:pPr>
      <w:r>
        <w:rPr>
          <w:lang w:eastAsia="en-US"/>
        </w:rPr>
        <w:t xml:space="preserve">Transmission line construction activities must start after October 1 and will be completed before May 1.  </w:t>
      </w:r>
    </w:p>
    <w:p>
      <w:pPr>
        <w:pStyle w:val="BodyText"/>
        <w:rPr>
          <w:lang w:eastAsia="en-US"/>
        </w:rPr>
      </w:pPr>
      <w:r>
        <w:rPr>
          <w:lang w:eastAsia="en-US"/>
        </w:rPr>
      </w:r>
    </w:p>
    <w:p>
      <w:pPr>
        <w:pStyle w:val="Normal"/>
        <w:numPr>
          <w:ilvl w:val="0"/>
          <w:numId w:val="3"/>
        </w:numPr>
        <w:rPr>
          <w:rFonts w:ascii="Arial" w:hAnsi="Arial" w:cs="Arial"/>
          <w:sz w:val="24"/>
          <w:lang w:eastAsia="en-US"/>
        </w:rPr>
      </w:pPr>
      <w:r>
        <w:rPr>
          <w:rFonts w:cs="Arial" w:ascii="Arial" w:hAnsi="Arial"/>
          <w:sz w:val="24"/>
          <w:lang w:eastAsia="en-US"/>
        </w:rPr>
        <w:t xml:space="preserve">The existing structures should not require replacement / modification between these two conductors types. </w:t>
      </w:r>
    </w:p>
    <w:p>
      <w:pPr>
        <w:pStyle w:val="Normal"/>
        <w:rPr>
          <w:rFonts w:ascii="Arial" w:hAnsi="Arial" w:cs="Arial"/>
          <w:sz w:val="24"/>
          <w:lang w:eastAsia="en-US"/>
        </w:rPr>
      </w:pPr>
      <w:r>
        <w:rPr>
          <w:rFonts w:cs="Arial" w:ascii="Arial" w:hAnsi="Arial"/>
          <w:sz w:val="24"/>
          <w:lang w:eastAsia="en-US"/>
        </w:rPr>
      </w:r>
    </w:p>
    <w:p>
      <w:pPr>
        <w:pStyle w:val="BodyText3"/>
        <w:numPr>
          <w:ilvl w:val="0"/>
          <w:numId w:val="6"/>
        </w:numPr>
        <w:rPr>
          <w:color w:val="auto"/>
        </w:rPr>
      </w:pPr>
      <w:r>
        <w:rPr>
          <w:color w:val="auto"/>
        </w:rPr>
        <w:t xml:space="preserve">If during detail design efforts, it is revealed that structural modifications are required along a portion reconductor, the desired start up date WILL NOT be achieved. </w:t>
      </w:r>
    </w:p>
    <w:p>
      <w:pPr>
        <w:pStyle w:val="BodyText3"/>
        <w:rPr>
          <w:color w:val="auto"/>
        </w:rPr>
      </w:pPr>
      <w:r>
        <w:rPr>
          <w:color w:val="auto"/>
        </w:rPr>
      </w:r>
    </w:p>
    <w:p>
      <w:pPr>
        <w:pStyle w:val="Normal"/>
        <w:numPr>
          <w:ilvl w:val="0"/>
          <w:numId w:val="3"/>
        </w:numPr>
        <w:rPr>
          <w:rFonts w:ascii="Arial" w:hAnsi="Arial" w:cs="Arial"/>
          <w:sz w:val="24"/>
          <w:lang w:eastAsia="en-US"/>
        </w:rPr>
      </w:pPr>
      <w:r>
        <w:rPr>
          <w:rFonts w:eastAsia="Arial" w:cs="Arial" w:ascii="Arial" w:hAnsi="Arial"/>
          <w:sz w:val="24"/>
          <w:lang w:eastAsia="en-US"/>
        </w:rPr>
        <w:t xml:space="preserve"> </w:t>
      </w:r>
      <w:r>
        <w:rPr>
          <w:rFonts w:cs="Arial" w:ascii="Arial" w:hAnsi="Arial"/>
          <w:sz w:val="24"/>
          <w:lang w:eastAsia="en-US"/>
        </w:rPr>
        <w:t>Since 954 ACSS is not an NPC standard, a 30 % material premium for conductor, and a 20 % premium for AGS units over NPC standard post clamps.</w:t>
      </w:r>
    </w:p>
    <w:p>
      <w:pPr>
        <w:pStyle w:val="Normal"/>
        <w:rPr>
          <w:rFonts w:ascii="Arial" w:hAnsi="Arial" w:cs="Arial"/>
          <w:sz w:val="24"/>
          <w:lang w:eastAsia="en-US"/>
        </w:rPr>
      </w:pPr>
      <w:r>
        <w:rPr>
          <w:rFonts w:cs="Arial" w:ascii="Arial" w:hAnsi="Arial"/>
          <w:sz w:val="24"/>
          <w:lang w:eastAsia="en-US"/>
        </w:rPr>
      </w:r>
    </w:p>
    <w:p>
      <w:pPr>
        <w:pStyle w:val="BodyText"/>
        <w:numPr>
          <w:ilvl w:val="0"/>
          <w:numId w:val="5"/>
        </w:numPr>
        <w:rPr>
          <w:lang w:eastAsia="en-US"/>
        </w:rPr>
      </w:pPr>
      <w:r>
        <w:rPr>
          <w:lang w:eastAsia="en-US"/>
        </w:rPr>
        <w:t>The one (1) mile Craig to LVCOGEN reconductor segment will require an outage of the existing Craig-LVCOGEN 138kV line.  The outage duration should be approximately 3 to 4 weeks.  This outage should be taken simultaneous with the LVCOGEN QF unit outage.</w:t>
      </w:r>
    </w:p>
    <w:p>
      <w:pPr>
        <w:pStyle w:val="BodyText"/>
        <w:rPr>
          <w:lang w:eastAsia="en-US"/>
        </w:rPr>
      </w:pPr>
      <w:r>
        <w:rPr>
          <w:lang w:eastAsia="en-US"/>
        </w:rPr>
      </w:r>
    </w:p>
    <w:p>
      <w:pPr>
        <w:pStyle w:val="BodyText"/>
        <w:numPr>
          <w:ilvl w:val="0"/>
          <w:numId w:val="5"/>
        </w:numPr>
        <w:rPr>
          <w:lang w:eastAsia="en-US"/>
        </w:rPr>
      </w:pPr>
      <w:r>
        <w:rPr/>
        <w:t xml:space="preserve">The ten (10) mile LVCOGEN to Highland reconductor segment will require an outage of the existing LVCOGEN-Highland 138 kV line.  The outage duration should be approximately 8 to 12 weeks. </w:t>
      </w:r>
      <w:r>
        <w:rPr>
          <w:lang w:eastAsia="en-US"/>
        </w:rPr>
        <w:t>This outage should be taken simultaneous with the LVCOGEN QF unit outage.</w:t>
      </w:r>
    </w:p>
    <w:p>
      <w:pPr>
        <w:pStyle w:val="BodyText2"/>
        <w:rPr>
          <w:color w:val="auto"/>
          <w:lang w:eastAsia="en-US"/>
        </w:rPr>
      </w:pPr>
      <w:r>
        <w:rPr>
          <w:color w:val="auto"/>
          <w:lang w:eastAsia="en-US"/>
        </w:rPr>
      </w:r>
    </w:p>
    <w:p>
      <w:pPr>
        <w:pStyle w:val="BodyTextIndent"/>
        <w:numPr>
          <w:ilvl w:val="0"/>
          <w:numId w:val="4"/>
        </w:numPr>
        <w:rPr>
          <w:color w:val="auto"/>
        </w:rPr>
      </w:pPr>
      <w:r>
        <w:rPr>
          <w:color w:val="auto"/>
        </w:rPr>
        <w:t>All reconductoring includes the removal of the existing dead end assemblies (Quad clamp) and replacing with Compression Dead Ends.  In addition the existing trunion clamp post insulators will be replaced with AGS insulator units.</w:t>
      </w:r>
    </w:p>
    <w:p>
      <w:pPr>
        <w:pStyle w:val="BodyText"/>
        <w:rPr>
          <w:color w:val="auto"/>
        </w:rPr>
      </w:pPr>
      <w:r>
        <w:rPr>
          <w:color w:val="auto"/>
        </w:rPr>
      </w:r>
      <w:r>
        <w:br w:type="page"/>
      </w:r>
    </w:p>
    <w:p>
      <w:pPr>
        <w:pStyle w:val="Heading1"/>
        <w:ind w:hanging="0" w:start="0"/>
        <w:rPr>
          <w:b/>
          <w:sz w:val="36"/>
        </w:rPr>
      </w:pPr>
      <w:r>
        <w:rPr>
          <w:b/>
          <w:sz w:val="36"/>
        </w:rPr>
        <w:t>Diagram #6</w:t>
      </w:r>
    </w:p>
    <w:p>
      <w:pPr>
        <w:pStyle w:val="Normal"/>
        <w:rPr>
          <w:rFonts w:ascii="Arial" w:hAnsi="Arial" w:cs="Arial"/>
          <w:b/>
          <w:sz w:val="24"/>
        </w:rPr>
      </w:pPr>
      <w:r>
        <w:rPr>
          <w:rFonts w:cs="Arial" w:ascii="Arial" w:hAnsi="Arial"/>
          <w:b/>
          <w:sz w:val="24"/>
        </w:rPr>
      </w:r>
    </w:p>
    <w:p>
      <w:pPr>
        <w:pStyle w:val="Heading3"/>
        <w:ind w:hanging="0" w:start="0"/>
        <w:rPr>
          <w:rFonts w:eastAsia="Arial"/>
        </w:rPr>
      </w:pPr>
      <w:r>
        <w:object w:dxaOrig="8024" w:dyaOrig="967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01.25pt;height:483.75pt;mso-wrap-distance-left:9.05pt;mso-wrap-distance-right:9.05pt;mso-position-horizontal-relative:text;mso-position-vertical-relative:text" filled="f" o:ole="">
            <v:imagedata r:id="rId3" o:title=""/>
            <w10:wrap type="topAndBottom"/>
          </v:shape>
          <o:OLEObject Type="Embed" ProgID="" ShapeID="ole_rId2" DrawAspect="Content" ObjectID="_1295784014" r:id="rId2"/>
        </w:object>
      </w:r>
      <w:r>
        <w:rPr>
          <w:rFonts w:eastAsia="Arial"/>
        </w:rPr>
        <w:t xml:space="preserve"> </w:t>
      </w:r>
      <w:r>
        <w:br w:type="page"/>
      </w:r>
    </w:p>
    <w:p>
      <w:pPr>
        <w:pStyle w:val="Heading3"/>
        <w:ind w:hanging="0" w:start="0"/>
        <w:rPr/>
      </w:pPr>
      <w:r>
        <w:rPr/>
        <w:t>Study Results: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BodyText"/>
        <w:rPr/>
      </w:pPr>
      <w:r>
        <w:rPr/>
        <w:t xml:space="preserve">The N-1 loading results for the base case without the addition of the six new ENRON units (230MW) is shown on </w:t>
      </w:r>
      <w:r>
        <w:rPr>
          <w:b/>
        </w:rPr>
        <w:t>Table #7</w:t>
      </w:r>
      <w:r>
        <w:rPr/>
        <w:t xml:space="preserve">.  The N-1 loading results for the base case with the addition of the six new ENRON units (230MW) are shown on </w:t>
      </w:r>
      <w:r>
        <w:rPr>
          <w:b/>
        </w:rPr>
        <w:t xml:space="preserve">Table #8.  </w:t>
      </w:r>
      <w:r>
        <w:rPr/>
        <w:t xml:space="preserve">The N-1 loading results for Alternative J are shown on </w:t>
      </w:r>
      <w:r>
        <w:rPr>
          <w:b/>
        </w:rPr>
        <w:t>Table #9.</w:t>
      </w:r>
    </w:p>
    <w:p>
      <w:pPr>
        <w:pStyle w:val="BodyText"/>
        <w:rPr>
          <w:b/>
        </w:rPr>
      </w:pPr>
      <w:r>
        <w:rPr>
          <w:b/>
        </w:rPr>
      </w:r>
    </w:p>
    <w:p>
      <w:pPr>
        <w:pStyle w:val="BodyText"/>
        <w:rPr/>
      </w:pPr>
      <w:r>
        <w:rPr/>
        <w:t>The following case and subsequent system reinforcement alternative performed adequately (satisfied N-0/N-1 contingency loading requirements and voltage requirements) and satisfied the least cost alternative goal:</w:t>
      </w:r>
    </w:p>
    <w:p>
      <w:pPr>
        <w:pStyle w:val="BodyText"/>
        <w:rPr/>
      </w:pPr>
      <w:r>
        <w:rPr/>
      </w:r>
    </w:p>
    <w:p>
      <w:pPr>
        <w:pStyle w:val="BodyText"/>
        <w:rPr/>
      </w:pPr>
      <w:r>
        <w:rPr>
          <w:b/>
        </w:rPr>
        <w:t>Case J</w:t>
      </w:r>
      <w:r>
        <w:rPr/>
        <w:t xml:space="preserve"> is the new 500 kV base case, with the 230 MW six unit addition at the LVCOGEN 138 kV bus and with the Craig-LVC-HI 138 kV line reconductored from 954AA to 954ACSS.  With the Harry Allen South Path transfer maintained near the 1511.6 MW limit, N-0 and N-1 overloads are not  seen in this case.  Single-line </w:t>
      </w:r>
      <w:r>
        <w:rPr>
          <w:b/>
        </w:rPr>
        <w:t>Diagrams #9A and 9B</w:t>
      </w:r>
      <w:r>
        <w:rPr/>
        <w:t xml:space="preserve"> show the N-0 powerflows for this J Case in the LVCOGEN/HA South Path vicinity.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rFonts w:ascii="Arial" w:hAnsi="Arial" w:cs="Arial"/>
          <w:sz w:val="24"/>
        </w:rPr>
      </w:pPr>
      <w:r>
        <w:rPr>
          <w:rFonts w:cs="Arial"/>
          <w:sz w:val="24"/>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BodyText"/>
        <w:rPr/>
      </w:pPr>
      <w:r>
        <w:rPr/>
      </w:r>
    </w:p>
    <w:p>
      <w:pPr>
        <w:pStyle w:val="Heading3"/>
        <w:ind w:hanging="0" w:start="0"/>
        <w:rPr/>
      </w:pPr>
      <w:r>
        <w:rPr/>
        <w:t>Table #7</w:t>
      </w:r>
    </w:p>
    <w:p>
      <w:pPr>
        <w:pStyle w:val="Heading1"/>
        <w:ind w:hanging="0" w:start="0"/>
        <w:rPr/>
      </w:pPr>
      <w:r>
        <w:rPr/>
        <w:t>(500KV IPP Case without 230 MW ENRON addition)</w:t>
      </w:r>
    </w:p>
    <w:p>
      <w:pPr>
        <w:pStyle w:val="Normal"/>
        <w:rPr/>
      </w:pPr>
      <w:r>
        <w:rPr/>
      </w:r>
    </w:p>
    <w:p>
      <w:pPr>
        <w:pStyle w:val="Normal"/>
        <w:rPr>
          <w:rFonts w:ascii="Courier New" w:hAnsi="Courier New" w:cs="Courier New"/>
          <w:sz w:val="18"/>
        </w:rPr>
      </w:pPr>
      <w:r>
        <w:rPr>
          <w:rFonts w:cs="Courier New" w:ascii="Courier New" w:hAnsi="Courier New"/>
          <w:sz w:val="18"/>
        </w:rPr>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output report was generated from contingency file: [c:/upslf112/conpro_ipp02_sofha_max.out]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Date report made - Thu Feb 22 11:51:03 2001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HA/SO: 1511.6 SO.TIES: -612.3 AI: GEN: 4676.6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report documents overloads violations (above a specified threshold) for the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following user defined reporting area(s) only: 18-NEVADA  26-LADWP  19-WAPA L.C.  24-SOCALIF  -  65-PACE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REPORTING PARAMETERS:  N-0 LOW/HIGH V(pu):  0.92  1.05    LINE/XFMR RATING:  &gt;=  95.00%% OF RATING #2    DELTA V(pu): 0.0500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N-1 LOW/HIGH V(pu):  0.95  1.04    LOW/HIGH KV TO REPORT:     12.50    500.00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SUMMARY OF OVERLOADED LINES AND TRANSFORMERS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--------FROM bus--------  ---------TO bus----------      ---ACTUAL FLOWS--- RATING   flow  RATING   base   cont   Cnt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---name--- -kv- ar   #    ---name--- -kv- ar -ID- --mw- -mvar  --mva  [MVA]   amps  [AMPS]   load   load    #   freq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 ---- -- -----  ---------- ---- -- ---- ----- -----  ----- ------  ------ ------  -----  -----   ---  ----    </w:t>
      </w:r>
    </w:p>
    <w:p>
      <w:pPr>
        <w:pStyle w:val="Normal"/>
        <w:rPr/>
      </w:pPr>
      <w:r>
        <w:rPr>
          <w:rFonts w:eastAsia="Courier New" w:cs="Courier New" w:ascii="Courier New" w:hAnsi="Courier New"/>
          <w:sz w:val="18"/>
        </w:rPr>
        <w:t xml:space="preserve">       </w:t>
      </w:r>
      <w:r>
        <w:rPr>
          <w:rFonts w:cs="Courier New" w:ascii="Courier New" w:hAnsi="Courier New"/>
          <w:sz w:val="18"/>
          <w:highlight w:val="yellow"/>
        </w:rPr>
        <w:t>18178  "MILLER  "   69 18 18241  "TONOPAH "   69 18 "1 "   138    16  138.9  123.0  1146.1   1029   0.61   1.11   142     2</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18075  "LORENZI "  138 18 18088  "PECOS   "  138 18 "1 "  -244    29  245.7  246.0  1029.1   1029   0.78   1.00    76     2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18084  "NWEST   "  138 18 18058  "ELCAPTAN"  138 18 "1 "   255     4  255.0  251.4  1043.9   1052   0.72   0.99    76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18157  "GARCES  "   69 18 18242  "TR TAP  "   69 18 "1 "   122   -15  122.9  123.0  1008.6   1029   0.35   0.98   130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18270  "NCA1A   "   14 18 18082  "NCA1    "  138 18 "1 "    43    24   49.2   51.0    &lt;===   &lt;===   0.91   0.97   137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18028  "WESTSIDE"  230 18 18117  "WESTSIDE"  138 18 "1 "   354    19  354.5  370.0    &lt;===   &lt;===   0.72   0.96    68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18260  "CLARK10 "   14 18 18048  "CLARK   "  138 18 "1 "    80    46   92.3   97.0    &lt;===   &lt;===   0.90   0.95    22     2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142              (553) PECOS-WASHBURN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18088 PECOS    138.0 to   18116 WASHBURN 138.0   circuit 1                                        </w:t>
      </w:r>
    </w:p>
    <w:p>
      <w:pPr>
        <w:pStyle w:val="Normal"/>
        <w:rPr>
          <w:rFonts w:ascii="Courier New" w:hAnsi="Courier New" w:cs="Courier New"/>
          <w:sz w:val="18"/>
        </w:rPr>
      </w:pPr>
      <w:r>
        <w:rPr>
          <w:rFonts w:cs="Courier New" w:ascii="Courier New" w:hAnsi="Courier New"/>
          <w:sz w:val="18"/>
        </w:rPr>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76              (60) NORTHWEST-WESTSIDE-DECATUR 230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18022 NWEST    230.0 to   18028 WESTSIDE 230.0   circuit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18015 DECATUR  230.0 to   18028 WESTSIDE 230.0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cs="Courier New" w:ascii="Courier New" w:hAnsi="Courier New"/>
          <w:sz w:val="18"/>
        </w:rPr>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Yellow Highlighted overloads will be corrected by Nevada Power Company.</w:t>
      </w:r>
    </w:p>
    <w:p>
      <w:pPr>
        <w:pStyle w:val="Normal"/>
        <w:rPr>
          <w:rFonts w:ascii="Courier New" w:hAnsi="Courier New" w:cs="Courier New"/>
          <w:sz w:val="18"/>
        </w:rPr>
      </w:pPr>
      <w:r>
        <w:rPr>
          <w:rFonts w:cs="Courier New" w:ascii="Courier New" w:hAnsi="Courier New"/>
          <w:sz w:val="18"/>
        </w:rPr>
      </w:r>
      <w:r>
        <w:br w:type="page"/>
      </w:r>
    </w:p>
    <w:p>
      <w:pPr>
        <w:pStyle w:val="Heading3"/>
        <w:ind w:hanging="0" w:start="0"/>
        <w:rPr/>
      </w:pPr>
      <w:r>
        <w:rPr/>
        <w:t>Table #8</w:t>
      </w:r>
    </w:p>
    <w:p>
      <w:pPr>
        <w:pStyle w:val="Heading1"/>
        <w:ind w:hanging="0" w:start="0"/>
        <w:rPr/>
      </w:pPr>
      <w:r>
        <w:rPr/>
        <w:t>(500KV IPP Case with 230 MW ENRON addition, no enhancements)</w:t>
      </w:r>
    </w:p>
    <w:p>
      <w:pPr>
        <w:pStyle w:val="Heading3"/>
        <w:ind w:hanging="0" w:start="0"/>
        <w:rPr/>
      </w:pPr>
      <w:r>
        <w:rPr/>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output report (POSTPRO.OUT), was generated from contingency file: [c:/upslf112/conpro_ipp02-lvc-500-383impt.out]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Date report made - Wed Mar 07 11:21:28 2001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HA/SO: 1508.0 AI: 383.0 GEN: 4908.5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report documents overloads and voltage violations (above a specified threshold) for the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following user defined reporting area(s) only:  18-NEVADA  26-LADWP  19-WAPA L.C.  24-SOCALIF  -  65-PACE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REPORTING PARAMETERS:  N-0 LOW/HIGH V(pu):  0.92  1.05    LINE/XFMR RATING:  &gt;=  95.00%% OF RATING #2    DELTA V(pu): 0.050</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N-1 LOW/HIGH V(pu):  0.95  1.04    LOW/HIGH KV TO REPORT:     12.50    500.00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SUMMARY OF OVERLOADED LINES AND TRANSFORMERS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--------FROM bus--------  ---------TO bus----------      ---ACTUAL FLOWS--- RATING   flow  RATING   base   cont   Cnt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---name--- -kv- ar   #    ---name--- -kv- ar -ID- --mw- -mvar  --mva  [MVA]   amps  [AMPS]   load   load    #   freq</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 ---- -- -----  ---------- ---- -- ---- ----- -----  ----- ------  ------ ------  -----  -----   ---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18178  "MILLER  "   69 18 18241  "TONOPAH "   69 18 "1 "   142    16  142.9  123.0  1177.4   1029   0.62   1.14   142     2</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18053  "CRAIG   "  138 18 18077  "LVCOGEN "  138 18 "1 "  -269   -11  269.2  246.0  1111.7   1029   0.32   1.08   130     2</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18075  "LORENZI "  138 18 18088  "PECOS   "  138 18 "1 "  -261    31  262.8  246.0  1098.6   1029   0.85   1.07    76     4</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18077  "LVCOGEN "  138 18 18068  "HIGHLAND"  138 18 "1 "   270    -2  270.0  246.0  1104.4   1029   0.79   1.07   149     1</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18157  "GARCES  "   69 18 18242  "TR TAP  "   69 18 "1 "   130   -16  131.0  123.0  1070.4   1029   0.21   1.04   130     1</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18084  "NWEST   "  138 18 18058  "ELCAPTAN"  138 18 "1 "   252     4  252.0  251.4  1031.7   1052   0.71   0.98    76     1</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18270  "NCA1A   "   14 18 18082  "NCA1    "  138 18 "1 "    43    24   49.2   51.0    &lt;===   &lt;===   0.91   0.97   137     1</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18088  "PECOS   "  138 18 18610  "ALXCOMM "  138 18 "1 "   238    17  238.6  246.0   985.9   1029   0.80   0.96   142     2</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142              (553) PECOS-WASHBURN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18088 PECOS    138.0 to   18116 WASHBURN 138.0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130              (533) HIGHLAND-LVCOGEN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18077 LVCOGEN  138.0 to   18068 HIGHLAND 138.0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76              (60) NORTHWEST-WESTSIDE-DECATUR 230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18022 NWEST    230.0 to   18028 WESTSIDE 230.0   circuit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18015 DECATUR  230.0 to   18028 WESTSIDE 230.0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149              (558) LVCOGEN-CRAIG-PECOS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isolated BUS             18053 CRAIG     13.8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isolated BUS             90200 CRAIG 1   13.8</w:t>
      </w:r>
    </w:p>
    <w:p>
      <w:pPr>
        <w:pStyle w:val="Normal"/>
        <w:rPr>
          <w:rFonts w:ascii="Courier New" w:hAnsi="Courier New" w:cs="Courier New"/>
          <w:sz w:val="18"/>
        </w:rPr>
      </w:pPr>
      <w:r>
        <w:rPr>
          <w:rFonts w:cs="Courier New" w:ascii="Courier New" w:hAnsi="Courier New"/>
          <w:sz w:val="18"/>
        </w:rPr>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Yellow Highlighted overloads will be corrected by Nevada Power Company.</w:t>
      </w:r>
    </w:p>
    <w:p>
      <w:pPr>
        <w:pStyle w:val="Heading3"/>
        <w:ind w:hanging="0" w:start="0"/>
        <w:rPr/>
      </w:pPr>
      <w:r>
        <w:rPr/>
        <w:t>Table #9</w:t>
      </w:r>
    </w:p>
    <w:p>
      <w:pPr>
        <w:pStyle w:val="Heading1"/>
        <w:ind w:hanging="0" w:start="0"/>
        <w:rPr/>
      </w:pPr>
      <w:r>
        <w:rPr/>
        <w:t>(500KV IPP Case with 230 MW ENRON addition, With ACSS reconductor, Alternative J)</w:t>
      </w:r>
    </w:p>
    <w:p>
      <w:pPr>
        <w:pStyle w:val="Heading3"/>
        <w:ind w:hanging="0" w:start="0"/>
        <w:rPr/>
      </w:pPr>
      <w:r>
        <w:rPr/>
      </w:r>
    </w:p>
    <w:p>
      <w:pPr>
        <w:pStyle w:val="Normal"/>
        <w:rPr>
          <w:rFonts w:ascii="Courier New" w:hAnsi="Courier New" w:cs="Courier New"/>
          <w:sz w:val="18"/>
        </w:rPr>
      </w:pPr>
      <w:r>
        <w:rPr>
          <w:rFonts w:cs="Courier New" w:ascii="Courier New" w:hAnsi="Courier New"/>
          <w:sz w:val="18"/>
        </w:rPr>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output report (POSTPRO.OUT), was generated from contingency file: [c:/upslf112/conpro_lvc-500-383impt-acss.out]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Date report made - Thu Feb 22 11:29:30 2001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HA/SO: 1505.9  SO.TIES: -383 AI: GEN: 4908.6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This report documents overloads violations (above a specified threshold) for the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following user defined reporting area(s) only: 18-NEVADA  26-LADWP  19-WAPA L.C.  24-SOCALIF  -  65-PACE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REPORTING PARAMETERS:  N-0 LOW/HIGH V(pu):  0.92  1.05    LINE/XFMR RATING:  &gt;=  95.00%% OF RATING #2    DELTA V(pu): 0.0500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N-1 LOW/HIGH V(pu):  0.95  1.04    LOW/HIGH KV TO REPORT:     12.50    500.00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SUMMARY OF OVERLOADED LINES AND TRANSFORMERS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--------FROM bus--------  ---------TO bus----------      ---ACTUAL FLOWS--- RATING   flow  RATING   base   cont   Cnt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---name--- -kv- ar   #    ---name--- -kv- ar -ID- --mw- -mvar  --mva  [MVA]   amps  [AMPS]   load   load    #   freq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  ---------- ---- -- -----  ---------- ---- -- ---- ----- -----  ----- ------  ------ ------  -----  -----   ---  ----  </w:t>
      </w:r>
    </w:p>
    <w:p>
      <w:pPr>
        <w:pStyle w:val="Normal"/>
        <w:rPr/>
      </w:pPr>
      <w:r>
        <w:rPr>
          <w:rFonts w:eastAsia="Courier New" w:cs="Courier New" w:ascii="Courier New" w:hAnsi="Courier New"/>
          <w:sz w:val="18"/>
        </w:rPr>
        <w:t xml:space="preserve">       </w:t>
      </w:r>
      <w:r>
        <w:rPr>
          <w:rFonts w:cs="Courier New" w:ascii="Courier New" w:hAnsi="Courier New"/>
          <w:sz w:val="18"/>
          <w:highlight w:val="yellow"/>
        </w:rPr>
        <w:t>18178  "MILLER  "   69 18 18241  "TONOPAH "   69 18 "1 "   142    15  142.8  123.0  1176.6   1029   0.62   1.14   142     2</w:t>
      </w:r>
      <w:r>
        <w:rPr>
          <w:rFonts w:cs="Courier New" w:ascii="Courier New" w:hAnsi="Courier New"/>
          <w:sz w:val="18"/>
        </w:rPr>
        <w:t xml:space="preserve">  </w:t>
      </w:r>
    </w:p>
    <w:p>
      <w:pPr>
        <w:pStyle w:val="Normal"/>
        <w:rPr/>
      </w:pPr>
      <w:r>
        <w:rPr>
          <w:rFonts w:eastAsia="Courier New" w:cs="Courier New" w:ascii="Courier New" w:hAnsi="Courier New"/>
          <w:sz w:val="18"/>
        </w:rPr>
        <w:t xml:space="preserve">       </w:t>
      </w:r>
      <w:r>
        <w:rPr>
          <w:rFonts w:cs="Courier New" w:ascii="Courier New" w:hAnsi="Courier New"/>
          <w:sz w:val="18"/>
          <w:highlight w:val="yellow"/>
        </w:rPr>
        <w:t>18075  "LORENZI "  138 18 18088  "PECOS   "  138 18 "1 "  -261    31  262.8  246.0  1098.6   1029   0.85   1.07    76     4</w:t>
      </w:r>
      <w:r>
        <w:rPr>
          <w:rFonts w:cs="Courier New" w:ascii="Courier New" w:hAnsi="Courier New"/>
          <w:sz w:val="18"/>
        </w:rPr>
        <w:t xml:space="preserve">  </w:t>
      </w:r>
    </w:p>
    <w:p>
      <w:pPr>
        <w:pStyle w:val="Normal"/>
        <w:rPr/>
      </w:pPr>
      <w:r>
        <w:rPr>
          <w:rFonts w:eastAsia="Courier New" w:cs="Courier New" w:ascii="Courier New" w:hAnsi="Courier New"/>
          <w:sz w:val="18"/>
        </w:rPr>
        <w:t xml:space="preserve">       </w:t>
      </w:r>
      <w:r>
        <w:rPr>
          <w:rFonts w:cs="Courier New" w:ascii="Courier New" w:hAnsi="Courier New"/>
          <w:sz w:val="18"/>
          <w:highlight w:val="yellow"/>
        </w:rPr>
        <w:t>18157  "GARCES  "   69 18 18242  "TR TAP  "   69 18 "1 "   129   -17  130.1  123.0  1069.9   1029   0.20   1.04   130     1</w:t>
      </w:r>
      <w:r>
        <w:rPr>
          <w:rFonts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18084  "NWEST   "  138 18 18058  "ELCAPTAN"  138 18 "1 "   252     4  252.0  251.4  1031.5   1052   0.71   0.98    76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18270  "NCA1A   "   14 18 18082  "NCA1    "  138 18 "1 "    43    24   49.2   51.0    &lt;===   &lt;===   0.91   0.97   137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18088  "PECOS   "  138 18 18610  "ALXCOMM "  138 18 "1 "   238    18  238.7  246.0   986.7   1029   0.80   0.96   142     2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142              (553) PECOS-WASHBURN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18088 PECOS    138.0 to   18116 WASHBURN 138.0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76              (60) NORTHWEST-WESTSIDE-DECATUR 230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18022 NWEST    230.0 to   18028 WESTSIDE 230.0   circuit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18015 DECATUR  230.0 to   18028 WESTSIDE 230.0   circuit 1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Outage case 130              (533) HIGHLAND-LVCOGEN 138 KV LINE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switched OUT LINE        18077 LVCOGEN  138.0 to   18068 HIGHLAND 138.0   circuit 1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___________________________________________________________________________________________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eastAsia="Courier New" w:cs="Courier New"/>
          <w:sz w:val="18"/>
        </w:rPr>
      </w:pPr>
      <w:r>
        <w:rPr>
          <w:rFonts w:eastAsia="Courier New" w:cs="Courier New" w:ascii="Courier New" w:hAnsi="Courier New"/>
          <w:sz w:val="18"/>
        </w:rPr>
        <w:t xml:space="preserve">                                                                                                                                    </w:t>
      </w:r>
    </w:p>
    <w:p>
      <w:pPr>
        <w:pStyle w:val="Normal"/>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highlight w:val="yellow"/>
        </w:rPr>
        <w:t>Yellow Highlighted overloads will be corrected by Nevada Power Company.</w:t>
      </w:r>
    </w:p>
    <w:p>
      <w:pPr>
        <w:pStyle w:val="Normal"/>
        <w:rPr>
          <w:rFonts w:ascii="Courier New" w:hAnsi="Courier New" w:cs="Courier New"/>
          <w:sz w:val="18"/>
        </w:rPr>
      </w:pPr>
      <w:r>
        <w:rPr>
          <w:rFonts w:cs="Courier New" w:ascii="Courier New" w:hAnsi="Courier New"/>
          <w:sz w:val="18"/>
        </w:rPr>
      </w:r>
    </w:p>
    <w:p>
      <w:pPr>
        <w:pStyle w:val="Heading3"/>
        <w:ind w:hanging="0" w:start="0"/>
        <w:rPr/>
      </w:pPr>
      <w:r>
        <w:rPr/>
        <w:t>Diagram #9A</w:t>
      </w:r>
    </w:p>
    <w:p>
      <w:pPr>
        <w:pStyle w:val="Normal"/>
        <w:jc w:val="center"/>
        <w:rPr/>
      </w:pPr>
      <w:r>
        <w:rPr/>
        <w:drawing>
          <wp:inline distT="0" distB="0" distL="0" distR="0">
            <wp:extent cx="8280400" cy="6128385"/>
            <wp:effectExtent l="0" t="0" r="0" b="0"/>
            <wp:docPr id="1" name="lvc-jcas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c-jcase" descr="" title=""/>
                    <pic:cNvPicPr>
                      <a:picLocks noChangeAspect="1" noChangeArrowheads="1"/>
                    </pic:cNvPicPr>
                  </pic:nvPicPr>
                  <pic:blipFill>
                    <a:blip r:embed="rId4"/>
                    <a:srcRect l="-4" t="-5" r="-4" b="-5"/>
                    <a:stretch>
                      <a:fillRect/>
                    </a:stretch>
                  </pic:blipFill>
                  <pic:spPr bwMode="auto">
                    <a:xfrm>
                      <a:off x="0" y="0"/>
                      <a:ext cx="8280400" cy="6128385"/>
                    </a:xfrm>
                    <a:prstGeom prst="rect">
                      <a:avLst/>
                    </a:prstGeom>
                    <a:noFill/>
                  </pic:spPr>
                </pic:pic>
              </a:graphicData>
            </a:graphic>
          </wp:inline>
        </w:drawing>
      </w:r>
    </w:p>
    <w:p>
      <w:pPr>
        <w:pStyle w:val="Heading3"/>
        <w:ind w:hanging="0" w:start="0"/>
        <w:rPr/>
      </w:pPr>
      <w:r>
        <w:rPr/>
        <w:t>Diagram 9B</w:t>
      </w:r>
    </w:p>
    <w:p>
      <w:pPr>
        <w:pStyle w:val="Normal"/>
        <w:jc w:val="center"/>
        <w:rPr/>
      </w:pPr>
      <w:r>
        <w:rPr/>
        <w:drawing>
          <wp:inline distT="0" distB="0" distL="0" distR="0">
            <wp:extent cx="8280400" cy="6129020"/>
            <wp:effectExtent l="0" t="0" r="0" b="0"/>
            <wp:docPr id="2" name="LVC-500-AC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VC-500-ACSS" descr="" title=""/>
                    <pic:cNvPicPr>
                      <a:picLocks noChangeAspect="1" noChangeArrowheads="1"/>
                    </pic:cNvPicPr>
                  </pic:nvPicPr>
                  <pic:blipFill>
                    <a:blip r:embed="rId5"/>
                    <a:srcRect l="-4" t="-5" r="-4" b="-5"/>
                    <a:stretch>
                      <a:fillRect/>
                    </a:stretch>
                  </pic:blipFill>
                  <pic:spPr bwMode="auto">
                    <a:xfrm>
                      <a:off x="0" y="0"/>
                      <a:ext cx="8280400" cy="6129020"/>
                    </a:xfrm>
                    <a:prstGeom prst="rect">
                      <a:avLst/>
                    </a:prstGeom>
                    <a:noFill/>
                  </pic:spPr>
                </pic:pic>
              </a:graphicData>
            </a:graphic>
          </wp:inline>
        </w:drawing>
      </w:r>
    </w:p>
    <w:sectPr>
      <w:type w:val="nextPage"/>
      <w:pgSz w:orient="landscape" w:w="15840" w:h="12240"/>
      <w:pgMar w:left="720"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2"/>
      <w:u w:val="single"/>
    </w:rPr>
  </w:style>
  <w:style w:type="paragraph" w:styleId="Heading3">
    <w:name w:val="heading 3"/>
    <w:basedOn w:val="Normal"/>
    <w:next w:val="Normal"/>
    <w:qFormat/>
    <w:pPr>
      <w:keepNext w:val="true"/>
      <w:numPr>
        <w:ilvl w:val="2"/>
        <w:numId w:val="1"/>
      </w:numPr>
      <w:jc w:val="center"/>
      <w:outlineLvl w:val="2"/>
    </w:pPr>
    <w:rPr>
      <w:rFonts w:ascii="Arial" w:hAnsi="Arial" w:cs="Arial"/>
      <w:b/>
      <w:sz w:val="36"/>
    </w:rPr>
  </w:style>
  <w:style w:type="paragraph" w:styleId="Heading5">
    <w:name w:val="heading 5"/>
    <w:basedOn w:val="Normal"/>
    <w:next w:val="Normal"/>
    <w:qFormat/>
    <w:pPr>
      <w:keepNext w:val="true"/>
      <w:numPr>
        <w:ilvl w:val="4"/>
        <w:numId w:val="1"/>
      </w:numPr>
      <w:jc w:val="center"/>
      <w:outlineLvl w:val="4"/>
    </w:pPr>
    <w:rPr>
      <w:rFonts w:ascii="Arial" w:hAnsi="Arial" w:cs="Arial"/>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color w:val="0000FF"/>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New" w:hAnsi="Courier New" w:cs="Courier New"/>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color w:val="0000FF"/>
      <w:sz w:val="24"/>
      <w:lang w:eastAsia="en-US"/>
    </w:rPr>
  </w:style>
  <w:style w:type="paragraph" w:styleId="BodyText3">
    <w:name w:val="Body Text 3"/>
    <w:basedOn w:val="Normal"/>
    <w:qFormat/>
    <w:pPr/>
    <w:rPr>
      <w:rFonts w:ascii="Arial" w:hAnsi="Arial" w:cs="Arial"/>
      <w:color w:val="0000FF"/>
      <w:sz w:val="24"/>
      <w:lang w:eastAsia="en-US"/>
    </w:rPr>
  </w:style>
  <w:style w:type="paragraph" w:styleId="BodyTextIndent">
    <w:name w:val="Body Text Indent"/>
    <w:basedOn w:val="Normal"/>
    <w:pPr>
      <w:ind w:hanging="0" w:start="360" w:end="0"/>
    </w:pPr>
    <w:rPr>
      <w:rFonts w:ascii="Arial" w:hAnsi="Arial" w:cs="Arial"/>
      <w:color w:val="0000FF"/>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2001-03-08T22:43:00Z</dcterms:created>
  <dc:creator>MF12430</dc:creator>
  <dc:description/>
  <dc:language>en-CA</dc:language>
  <cp:lastModifiedBy>MF12430</cp:lastModifiedBy>
  <cp:lastPrinted>2000-12-08T07:51:00Z</cp:lastPrinted>
  <dcterms:modified xsi:type="dcterms:W3CDTF">2001-03-08T22:43:00Z</dcterms:modified>
  <cp:revision>2</cp:revision>
  <dc:subject/>
  <dc:title>Interconnection Requirements</dc:title>
</cp:coreProperties>
</file>