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a"/>
        <w:jc w:val="both"/>
        <w:rPr>
          <w:rStyle w:val="Letterb"/>
          <w:rFonts w:ascii="Arial" w:hAnsi="Arial" w:cs="Arial"/>
          <w:spacing w:val="-2"/>
        </w:rPr>
      </w:pPr>
      <w:r>
        <w:rPr>
          <w:rFonts w:cs="Arial" w:ascii="Arial" w:hAnsi="Arial"/>
          <w:spacing w:val="-2"/>
        </w:rPr>
        <w:fldChar w:fldCharType="begin"/>
      </w:r>
      <w:r>
        <w:rPr>
          <w:spacing w:val="-2"/>
          <w:rFonts w:cs="Arial" w:ascii="Arial" w:hAnsi="Arial"/>
        </w:rPr>
        <w:instrText xml:space="preserve"> DATE \@"MMMM\ d', 'yyyy" </w:instrText>
      </w:r>
      <w:r>
        <w:rPr>
          <w:spacing w:val="-2"/>
          <w:rFonts w:cs="Arial" w:ascii="Arial" w:hAnsi="Arial"/>
        </w:rPr>
        <w:fldChar w:fldCharType="separate"/>
      </w:r>
      <w:r>
        <w:rPr>
          <w:spacing w:val="-2"/>
          <w:rFonts w:cs="Arial" w:ascii="Arial" w:hAnsi="Arial"/>
        </w:rPr>
        <w:t>September 28, 2025</w:t>
      </w:r>
      <w:r>
        <w:rPr>
          <w:spacing w:val="-2"/>
          <w:rFonts w:cs="Arial" w:ascii="Arial" w:hAnsi="Arial"/>
        </w:rPr>
        <w:fldChar w:fldCharType="end"/>
      </w:r>
    </w:p>
    <w:p>
      <w:pPr>
        <w:pStyle w:val="Lettera"/>
        <w:jc w:val="both"/>
        <w:rPr>
          <w:rStyle w:val="Letterb"/>
          <w:rFonts w:ascii="Arial" w:hAnsi="Arial" w:cs="Arial"/>
          <w:spacing w:val="-2"/>
        </w:rPr>
      </w:pPr>
      <w:r>
        <w:rPr/>
      </w:r>
    </w:p>
    <w:p>
      <w:pPr>
        <w:pStyle w:val="Lettera"/>
        <w:jc w:val="both"/>
        <w:rPr>
          <w:rStyle w:val="Letterb"/>
          <w:rFonts w:ascii="Arial" w:hAnsi="Arial" w:cs="Arial"/>
          <w:spacing w:val="-2"/>
        </w:rPr>
      </w:pPr>
      <w:r>
        <w:rPr/>
      </w:r>
    </w:p>
    <w:p>
      <w:pPr>
        <w:pStyle w:val="Lettera"/>
        <w:jc w:val="both"/>
        <w:rPr>
          <w:rStyle w:val="Letterb"/>
          <w:rFonts w:ascii="Arial" w:hAnsi="Arial" w:cs="Arial"/>
          <w:spacing w:val="-2"/>
        </w:rPr>
      </w:pPr>
      <w:r>
        <w:rPr/>
      </w:r>
    </w:p>
    <w:p>
      <w:pPr>
        <w:pStyle w:val="Lettera"/>
        <w:jc w:val="both"/>
        <w:rPr/>
      </w:pPr>
      <w:bookmarkStart w:id="0" w:name="Addressee"/>
      <w:bookmarkEnd w:id="0"/>
      <w:r>
        <w:rPr>
          <w:rStyle w:val="Letterb"/>
          <w:rFonts w:cs="Arial" w:ascii="Arial" w:hAnsi="Arial"/>
          <w:spacing w:val="-2"/>
        </w:rPr>
        <w:t>Scott Healey</w:t>
      </w:r>
    </w:p>
    <w:p>
      <w:pPr>
        <w:pStyle w:val="Lettera"/>
        <w:jc w:val="both"/>
        <w:rPr/>
      </w:pPr>
      <w:r>
        <w:rPr>
          <w:rStyle w:val="Letterb"/>
          <w:rFonts w:cs="Arial" w:ascii="Arial" w:hAnsi="Arial"/>
          <w:spacing w:val="-2"/>
        </w:rPr>
        <w:t>Director, Power Generation Services</w:t>
      </w:r>
    </w:p>
    <w:p>
      <w:pPr>
        <w:pStyle w:val="Lettera"/>
        <w:spacing w:lineRule="auto" w:line="264"/>
        <w:rPr>
          <w:rStyle w:val="Letterb"/>
          <w:rFonts w:ascii="Arial" w:hAnsi="Arial" w:cs="Arial"/>
          <w:spacing w:val="-2"/>
        </w:rPr>
      </w:pPr>
      <w:bookmarkStart w:id="1" w:name="AddressHeader"/>
      <w:bookmarkEnd w:id="1"/>
      <w:r>
        <w:rPr>
          <w:rStyle w:val="Letterb"/>
          <w:rFonts w:cs="Arial" w:ascii="Arial" w:hAnsi="Arial"/>
          <w:spacing w:val="-2"/>
        </w:rPr>
        <w:fldChar w:fldCharType="begin"/>
      </w:r>
      <w:r>
        <w:rPr>
          <w:rStyle w:val="Letterb"/>
          <w:spacing w:val="-2"/>
          <w:rFonts w:cs="Arial" w:ascii="Arial" w:hAnsi="Arial"/>
        </w:rPr>
        <w:instrText xml:space="preserve"> FILLIN "Address"</w:instrText>
      </w:r>
      <w:r>
        <w:rPr>
          <w:rStyle w:val="Letterb"/>
          <w:spacing w:val="-2"/>
          <w:rFonts w:cs="Arial" w:ascii="Arial" w:hAnsi="Arial"/>
        </w:rPr>
        <w:fldChar w:fldCharType="separate"/>
      </w:r>
      <w:r>
        <w:rPr>
          <w:rStyle w:val="Letterb"/>
          <w:spacing w:val="-2"/>
          <w:rFonts w:cs="Arial" w:ascii="Arial" w:hAnsi="Arial"/>
        </w:rPr>
        <w:t>Enron Corporation of North America</w:t>
        <w:br/>
        <w:t>1400 Smith Street</w:t>
        <w:br/>
        <w:t>Houston, TX 77002</w:t>
      </w:r>
      <w:r>
        <w:rPr>
          <w:rStyle w:val="Letterb"/>
          <w:spacing w:val="-2"/>
          <w:rFonts w:cs="Arial" w:ascii="Arial" w:hAnsi="Arial"/>
        </w:rPr>
        <w:fldChar w:fldCharType="end"/>
      </w:r>
    </w:p>
    <w:p>
      <w:pPr>
        <w:pStyle w:val="Lettera"/>
        <w:tabs>
          <w:tab w:val="clear" w:pos="432"/>
          <w:tab w:val="clear" w:pos="864"/>
          <w:tab w:val="left" w:pos="-1656" w:leader="none"/>
          <w:tab w:val="left" w:pos="-936" w:leader="none"/>
          <w:tab w:val="left" w:pos="0" w:leader="none"/>
          <w:tab w:val="left" w:pos="540" w:leader="none"/>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 w:val="left" w:pos="4752" w:leader="none"/>
          <w:tab w:val="left" w:pos="5184" w:leader="none"/>
          <w:tab w:val="left" w:pos="5616" w:leader="none"/>
          <w:tab w:val="left" w:pos="6048" w:leader="none"/>
          <w:tab w:val="left" w:pos="6480" w:leader="none"/>
          <w:tab w:val="left" w:pos="6912" w:leader="none"/>
          <w:tab w:val="left" w:pos="7344" w:leader="none"/>
          <w:tab w:val="left" w:pos="7776" w:leader="none"/>
          <w:tab w:val="left" w:pos="8208" w:leader="none"/>
          <w:tab w:val="left" w:pos="8640" w:leader="none"/>
        </w:tabs>
        <w:spacing w:lineRule="auto" w:line="264"/>
        <w:rPr>
          <w:rStyle w:val="Letterb"/>
          <w:rFonts w:ascii="Arial" w:hAnsi="Arial" w:cs="Arial"/>
          <w:spacing w:val="-2"/>
        </w:rPr>
      </w:pPr>
      <w:r>
        <w:rPr/>
      </w:r>
    </w:p>
    <w:p>
      <w:pPr>
        <w:pStyle w:val="Lettera"/>
        <w:tabs>
          <w:tab w:val="clear" w:pos="432"/>
          <w:tab w:val="clear" w:pos="864"/>
          <w:tab w:val="left" w:pos="-1656" w:leader="none"/>
          <w:tab w:val="left" w:pos="-936" w:leader="none"/>
          <w:tab w:val="left" w:pos="0" w:leader="none"/>
          <w:tab w:val="left" w:pos="540" w:leader="none"/>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 w:val="left" w:pos="4752" w:leader="none"/>
          <w:tab w:val="left" w:pos="5184" w:leader="none"/>
          <w:tab w:val="left" w:pos="5616" w:leader="none"/>
          <w:tab w:val="left" w:pos="6048" w:leader="none"/>
          <w:tab w:val="left" w:pos="6480" w:leader="none"/>
          <w:tab w:val="left" w:pos="6912" w:leader="none"/>
          <w:tab w:val="left" w:pos="7344" w:leader="none"/>
          <w:tab w:val="left" w:pos="7776" w:leader="none"/>
          <w:tab w:val="left" w:pos="8208" w:leader="none"/>
          <w:tab w:val="left" w:pos="8640" w:leader="none"/>
        </w:tabs>
        <w:spacing w:lineRule="auto" w:line="264"/>
        <w:rPr/>
      </w:pPr>
      <w:r>
        <w:rPr>
          <w:rStyle w:val="Letterb"/>
          <w:rFonts w:cs="Arial" w:ascii="Arial" w:hAnsi="Arial"/>
          <w:b/>
          <w:spacing w:val="-2"/>
        </w:rPr>
        <w:t>RE:</w:t>
        <w:tab/>
      </w:r>
      <w:bookmarkStart w:id="2" w:name="RE"/>
      <w:bookmarkEnd w:id="2"/>
      <w:r>
        <w:rPr>
          <w:rStyle w:val="Letterb"/>
          <w:rFonts w:cs="Arial" w:ascii="Arial" w:hAnsi="Arial"/>
          <w:b/>
          <w:spacing w:val="-2"/>
        </w:rPr>
        <w:t>Air Permitting For Fuel Cell Powerplants</w:t>
      </w:r>
    </w:p>
    <w:p>
      <w:pPr>
        <w:pStyle w:val="Lettera"/>
        <w:tabs>
          <w:tab w:val="clear" w:pos="432"/>
          <w:tab w:val="clear" w:pos="864"/>
          <w:tab w:val="left" w:pos="-1656" w:leader="none"/>
          <w:tab w:val="left" w:pos="-936" w:leader="none"/>
          <w:tab w:val="left" w:pos="0" w:leader="none"/>
          <w:tab w:val="left" w:pos="540" w:leader="none"/>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 w:val="left" w:pos="4752" w:leader="none"/>
          <w:tab w:val="left" w:pos="5184" w:leader="none"/>
          <w:tab w:val="left" w:pos="5616" w:leader="none"/>
          <w:tab w:val="left" w:pos="6048" w:leader="none"/>
          <w:tab w:val="left" w:pos="6480" w:leader="none"/>
          <w:tab w:val="left" w:pos="6912" w:leader="none"/>
          <w:tab w:val="left" w:pos="7344" w:leader="none"/>
          <w:tab w:val="left" w:pos="7776" w:leader="none"/>
          <w:tab w:val="left" w:pos="8208" w:leader="none"/>
          <w:tab w:val="left" w:pos="8640" w:leader="none"/>
        </w:tabs>
        <w:spacing w:lineRule="auto" w:line="264"/>
        <w:rPr/>
      </w:pPr>
      <w:r>
        <w:rPr>
          <w:rStyle w:val="Letterb"/>
          <w:rFonts w:cs="Arial" w:ascii="Arial" w:hAnsi="Arial"/>
          <w:b/>
          <w:spacing w:val="-2"/>
        </w:rPr>
        <w:t xml:space="preserve">ENSR Project Number </w:t>
      </w:r>
      <w:bookmarkStart w:id="3" w:name="PN"/>
      <w:bookmarkEnd w:id="3"/>
      <w:r>
        <w:rPr>
          <w:rStyle w:val="Letterb"/>
          <w:rFonts w:cs="Arial" w:ascii="Arial" w:hAnsi="Arial"/>
          <w:b/>
          <w:spacing w:val="-2"/>
        </w:rPr>
        <w:t>6792-B29</w:t>
      </w:r>
    </w:p>
    <w:p>
      <w:pPr>
        <w:pStyle w:val="Lettera"/>
        <w:spacing w:lineRule="auto" w:line="264"/>
        <w:rPr>
          <w:rStyle w:val="Letterb"/>
          <w:rFonts w:ascii="Arial" w:hAnsi="Arial" w:cs="Arial"/>
          <w:b/>
          <w:spacing w:val="-2"/>
        </w:rPr>
      </w:pPr>
      <w:r>
        <w:rPr/>
      </w:r>
    </w:p>
    <w:p>
      <w:pPr>
        <w:pStyle w:val="Lettera"/>
        <w:spacing w:lineRule="auto" w:line="264"/>
        <w:rPr/>
      </w:pPr>
      <w:r>
        <w:rPr>
          <w:rStyle w:val="Letterb"/>
          <w:rFonts w:cs="Arial" w:ascii="Arial" w:hAnsi="Arial"/>
          <w:spacing w:val="-2"/>
        </w:rPr>
        <w:t xml:space="preserve">Dear </w:t>
      </w:r>
      <w:bookmarkStart w:id="4" w:name="Dear"/>
      <w:bookmarkEnd w:id="4"/>
      <w:r>
        <w:rPr>
          <w:rStyle w:val="Letterb"/>
          <w:rFonts w:cs="Arial" w:ascii="Arial" w:hAnsi="Arial"/>
          <w:spacing w:val="-2"/>
        </w:rPr>
        <w:t>Scott:</w:t>
      </w:r>
    </w:p>
    <w:p>
      <w:pPr>
        <w:pStyle w:val="Lettera"/>
        <w:spacing w:lineRule="auto" w:line="264"/>
        <w:jc w:val="both"/>
        <w:rPr>
          <w:rStyle w:val="Letterb"/>
          <w:rFonts w:ascii="Arial" w:hAnsi="Arial" w:cs="Arial"/>
          <w:spacing w:val="-2"/>
        </w:rPr>
      </w:pPr>
      <w:r>
        <w:rPr/>
      </w:r>
    </w:p>
    <w:p>
      <w:pPr>
        <w:pStyle w:val="Lettera"/>
        <w:spacing w:lineRule="auto" w:line="264"/>
        <w:jc w:val="both"/>
        <w:rPr/>
      </w:pPr>
      <w:bookmarkStart w:id="5" w:name="Text"/>
      <w:bookmarkEnd w:id="5"/>
      <w:r>
        <w:rPr>
          <w:rStyle w:val="Letterb"/>
          <w:rFonts w:cs="Arial" w:ascii="Arial" w:hAnsi="Arial"/>
          <w:spacing w:val="-2"/>
        </w:rPr>
        <w:t>ENSR is pleased to provide this Statement of Qualifications, General Scope and Budgetary Quote to perform air permitting for several prospective fuel cell power plants in Connecticut. ENSR has 30 years of extensive power plant permitting experience in New England and throughout the U.S. We will apply this experience to ensure that any required air permits for these facilities are obtained in a speedy manner. In fact, based on the emission data provided, the fuel cell power plants of the size you are considering do not require Permits to Construct from the Connecticut Department of Environmental Protection (CTDEP). Only the 30 MW power plant requires an approval from the CTDEP, in the form of a Permit to Operate.</w:t>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spacing w:val="-2"/>
        </w:rPr>
        <w:t xml:space="preserve">Our understanding based on telephone discussions is that Enron North America, Inc. (ENA) may propose one 30 MW power plant and two to three 5-10 MW power plants located at properties owned by the Connecticut Resource Recovery Authority. These facilities emit minimal amounts of air contaminants. Using literature provided by Fuel Cell Energy entitled   </w:t>
      </w:r>
      <w:r>
        <w:rPr>
          <w:rStyle w:val="Letterb"/>
          <w:rFonts w:cs="Arial" w:ascii="Arial" w:hAnsi="Arial"/>
          <w:b/>
          <w:i/>
          <w:spacing w:val="-2"/>
        </w:rPr>
        <w:t>2 MW Direct Fuel Cell Powerplant Specification Summary,</w:t>
      </w:r>
      <w:r>
        <w:rPr>
          <w:rStyle w:val="Letterb"/>
          <w:rFonts w:cs="Arial" w:ascii="Arial" w:hAnsi="Arial"/>
          <w:spacing w:val="-2"/>
        </w:rPr>
        <w:t xml:space="preserve"> ENSR calculated the following emission rates from a Direct Fuel Cell power plant:</w:t>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spacing w:val="-2"/>
        </w:rPr>
        <w:tab/>
        <w:tab/>
        <w:tab/>
        <w:tab/>
        <w:tab/>
        <w:tab/>
      </w:r>
      <w:r>
        <w:rPr>
          <w:rStyle w:val="Letterb"/>
          <w:rFonts w:cs="Arial" w:ascii="Arial" w:hAnsi="Arial"/>
          <w:b/>
          <w:spacing w:val="-2"/>
        </w:rPr>
        <w:t>Maximum Potential</w:t>
      </w:r>
    </w:p>
    <w:p>
      <w:pPr>
        <w:pStyle w:val="Lettera"/>
        <w:spacing w:lineRule="auto" w:line="264"/>
        <w:jc w:val="both"/>
        <w:rPr/>
      </w:pPr>
      <w:r>
        <w:rPr>
          <w:rStyle w:val="Letterb"/>
          <w:rFonts w:cs="Arial" w:ascii="Arial" w:hAnsi="Arial"/>
          <w:spacing w:val="-2"/>
        </w:rPr>
        <w:tab/>
      </w:r>
      <w:r>
        <w:rPr>
          <w:rStyle w:val="Letterb"/>
          <w:rFonts w:cs="Arial" w:ascii="Arial" w:hAnsi="Arial"/>
          <w:b/>
          <w:spacing w:val="-2"/>
        </w:rPr>
        <w:t>Pollutant</w:t>
        <w:tab/>
        <w:tab/>
        <w:t>Annual Emissions (tons per year)*</w:t>
      </w:r>
    </w:p>
    <w:p>
      <w:pPr>
        <w:pStyle w:val="Lettera"/>
        <w:spacing w:lineRule="auto" w:line="264"/>
        <w:jc w:val="both"/>
        <w:rPr/>
      </w:pPr>
      <w:r>
        <w:rPr>
          <w:rStyle w:val="Letterb"/>
          <w:rFonts w:cs="Arial" w:ascii="Arial" w:hAnsi="Arial"/>
          <w:b/>
          <w:spacing w:val="-2"/>
        </w:rPr>
        <w:tab/>
        <w:tab/>
        <w:tab/>
        <w:tab/>
        <w:tab/>
        <w:t>2 MW</w:t>
        <w:tab/>
        <w:tab/>
        <w:t>10MW</w:t>
        <w:tab/>
        <w:tab/>
        <w:t>30 MW</w:t>
      </w:r>
    </w:p>
    <w:p>
      <w:pPr>
        <w:pStyle w:val="Lettera"/>
        <w:spacing w:lineRule="auto" w:line="264"/>
        <w:jc w:val="both"/>
        <w:rPr>
          <w:rStyle w:val="Letterb"/>
          <w:rFonts w:ascii="Arial" w:hAnsi="Arial" w:cs="Arial"/>
          <w:b/>
          <w:spacing w:val="-2"/>
        </w:rPr>
      </w:pPr>
      <w:r>
        <w:rPr/>
      </w:r>
    </w:p>
    <w:p>
      <w:pPr>
        <w:pStyle w:val="Lettera"/>
        <w:spacing w:lineRule="auto" w:line="264"/>
        <w:jc w:val="both"/>
        <w:rPr/>
      </w:pPr>
      <w:r>
        <w:rPr>
          <w:rStyle w:val="Letterb"/>
          <w:rFonts w:cs="Arial" w:ascii="Arial" w:hAnsi="Arial"/>
          <w:spacing w:val="-2"/>
        </w:rPr>
        <w:tab/>
      </w:r>
      <w:r>
        <w:rPr>
          <w:rStyle w:val="Letterb"/>
          <w:rFonts w:cs="Arial" w:ascii="Arial" w:hAnsi="Arial"/>
          <w:b/>
          <w:spacing w:val="-2"/>
        </w:rPr>
        <w:t>NOx</w:t>
      </w:r>
      <w:r>
        <w:rPr>
          <w:rStyle w:val="Letterb"/>
          <w:rFonts w:cs="Arial" w:ascii="Arial" w:hAnsi="Arial"/>
          <w:spacing w:val="-2"/>
        </w:rPr>
        <w:tab/>
        <w:tab/>
        <w:tab/>
        <w:t>0.02</w:t>
        <w:tab/>
        <w:tab/>
        <w:tab/>
        <w:t>0.08</w:t>
        <w:tab/>
        <w:tab/>
        <w:tab/>
        <w:t>0.2</w:t>
        <w:tab/>
        <w:tab/>
        <w:tab/>
        <w:tab/>
        <w:tab/>
      </w:r>
    </w:p>
    <w:p>
      <w:pPr>
        <w:pStyle w:val="Lettera"/>
        <w:spacing w:lineRule="auto" w:line="264"/>
        <w:jc w:val="both"/>
        <w:rPr/>
      </w:pPr>
      <w:r>
        <w:rPr>
          <w:rStyle w:val="Letterb"/>
          <w:rFonts w:cs="Arial" w:ascii="Arial" w:hAnsi="Arial"/>
          <w:spacing w:val="-2"/>
        </w:rPr>
        <w:tab/>
      </w:r>
      <w:r>
        <w:rPr>
          <w:rStyle w:val="Letterb"/>
          <w:rFonts w:cs="Arial" w:ascii="Arial" w:hAnsi="Arial"/>
          <w:b/>
          <w:spacing w:val="-2"/>
        </w:rPr>
        <w:t>SOx</w:t>
        <w:tab/>
      </w:r>
      <w:r>
        <w:rPr>
          <w:rStyle w:val="Letterb"/>
          <w:rFonts w:cs="Arial" w:ascii="Arial" w:hAnsi="Arial"/>
          <w:spacing w:val="-2"/>
        </w:rPr>
        <w:tab/>
        <w:tab/>
        <w:t>0.02</w:t>
        <w:tab/>
        <w:tab/>
        <w:tab/>
        <w:t>0.11</w:t>
        <w:tab/>
        <w:tab/>
        <w:tab/>
        <w:t>0.3</w:t>
      </w:r>
    </w:p>
    <w:p>
      <w:pPr>
        <w:pStyle w:val="Lettera"/>
        <w:spacing w:lineRule="auto" w:line="264"/>
        <w:jc w:val="both"/>
        <w:rPr/>
      </w:pPr>
      <w:r>
        <w:rPr>
          <w:rStyle w:val="Letterb"/>
          <w:rFonts w:cs="Arial" w:ascii="Arial" w:hAnsi="Arial"/>
          <w:spacing w:val="-2"/>
        </w:rPr>
        <w:tab/>
      </w:r>
      <w:r>
        <w:rPr>
          <w:rStyle w:val="Letterb"/>
          <w:rFonts w:cs="Arial" w:ascii="Arial" w:hAnsi="Arial"/>
          <w:b/>
          <w:spacing w:val="-2"/>
        </w:rPr>
        <w:t>CO</w:t>
        <w:tab/>
      </w:r>
      <w:r>
        <w:rPr>
          <w:rStyle w:val="Letterb"/>
          <w:rFonts w:cs="Arial" w:ascii="Arial" w:hAnsi="Arial"/>
          <w:spacing w:val="-2"/>
        </w:rPr>
        <w:tab/>
        <w:tab/>
        <w:tab/>
        <w:t>0.98</w:t>
        <w:tab/>
        <w:tab/>
        <w:tab/>
        <w:t>4.9</w:t>
        <w:tab/>
        <w:tab/>
        <w:tab/>
        <w:t>14.7</w:t>
      </w:r>
    </w:p>
    <w:p>
      <w:pPr>
        <w:pStyle w:val="Lettera"/>
        <w:spacing w:lineRule="auto" w:line="264"/>
        <w:jc w:val="both"/>
        <w:rPr/>
      </w:pPr>
      <w:r>
        <w:rPr>
          <w:rStyle w:val="Letterb"/>
          <w:rFonts w:cs="Arial" w:ascii="Arial" w:hAnsi="Arial"/>
          <w:spacing w:val="-2"/>
        </w:rPr>
        <w:tab/>
      </w:r>
      <w:r>
        <w:rPr>
          <w:rStyle w:val="Letterb"/>
          <w:rFonts w:cs="Arial" w:ascii="Arial" w:hAnsi="Arial"/>
          <w:b/>
          <w:spacing w:val="-2"/>
        </w:rPr>
        <w:t>VOC (as CH</w:t>
      </w:r>
      <w:r>
        <w:rPr>
          <w:rStyle w:val="Letterb"/>
          <w:rFonts w:cs="Arial" w:ascii="Arial" w:hAnsi="Arial"/>
          <w:b/>
          <w:spacing w:val="-2"/>
          <w:vertAlign w:val="subscript"/>
        </w:rPr>
        <w:t>4</w:t>
      </w:r>
      <w:r>
        <w:rPr>
          <w:rStyle w:val="Letterb"/>
          <w:rFonts w:cs="Arial" w:ascii="Arial" w:hAnsi="Arial"/>
          <w:b/>
          <w:spacing w:val="-2"/>
        </w:rPr>
        <w:t>)</w:t>
      </w:r>
      <w:r>
        <w:rPr>
          <w:rStyle w:val="Letterb"/>
          <w:rFonts w:cs="Arial" w:ascii="Arial" w:hAnsi="Arial"/>
          <w:spacing w:val="-2"/>
        </w:rPr>
        <w:tab/>
        <w:t>0.56</w:t>
        <w:tab/>
        <w:tab/>
        <w:tab/>
        <w:t>2.8</w:t>
        <w:tab/>
        <w:tab/>
        <w:tab/>
        <w:t>8.4</w:t>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spacing w:val="-2"/>
        </w:rPr>
        <w:t>* 8,760 hours operation per year</w:t>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spacing w:val="-2"/>
        </w:rPr>
        <w:t xml:space="preserve">We recommend that these emissions be reviewed with the manufacturer and a guarantee obtained (if possible ) prior to permitting. </w:t>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b/>
          <w:spacing w:val="-2"/>
          <w:sz w:val="24"/>
          <w:u w:val="single"/>
        </w:rPr>
        <w:t>Summary of Air Permitting Requirements</w:t>
      </w:r>
    </w:p>
    <w:p>
      <w:pPr>
        <w:pStyle w:val="Lettera"/>
        <w:spacing w:lineRule="auto" w:line="264"/>
        <w:jc w:val="both"/>
        <w:rPr>
          <w:rStyle w:val="Letterb"/>
          <w:rFonts w:ascii="Arial" w:hAnsi="Arial" w:cs="Arial"/>
          <w:b/>
          <w:spacing w:val="-2"/>
          <w:sz w:val="24"/>
          <w:u w:val="single"/>
        </w:rPr>
      </w:pPr>
      <w:r>
        <w:rPr/>
      </w:r>
    </w:p>
    <w:p>
      <w:pPr>
        <w:pStyle w:val="Lettera"/>
        <w:spacing w:lineRule="auto" w:line="264"/>
        <w:jc w:val="both"/>
        <w:rPr/>
      </w:pPr>
      <w:r>
        <w:rPr>
          <w:rStyle w:val="Letterb"/>
          <w:rFonts w:cs="Arial" w:ascii="Arial" w:hAnsi="Arial"/>
          <w:spacing w:val="-2"/>
        </w:rPr>
        <w:t>ENSR conducted a thorough review of air permitting requirements for the subject power plants. We have determined the following:</w:t>
      </w:r>
    </w:p>
    <w:p>
      <w:pPr>
        <w:pStyle w:val="Lettera"/>
        <w:spacing w:lineRule="auto" w:line="264"/>
        <w:jc w:val="both"/>
        <w:rPr>
          <w:rStyle w:val="Letterb"/>
          <w:rFonts w:ascii="Arial" w:hAnsi="Arial" w:cs="Arial"/>
          <w:spacing w:val="-2"/>
        </w:rPr>
      </w:pPr>
      <w:r>
        <w:rPr/>
      </w:r>
    </w:p>
    <w:p>
      <w:pPr>
        <w:pStyle w:val="Lettera"/>
        <w:numPr>
          <w:ilvl w:val="0"/>
          <w:numId w:val="3"/>
        </w:numPr>
        <w:spacing w:lineRule="auto" w:line="264"/>
        <w:jc w:val="both"/>
        <w:rPr>
          <w:rStyle w:val="Letterb"/>
          <w:rFonts w:ascii="Arial" w:hAnsi="Arial" w:cs="Arial"/>
          <w:spacing w:val="-2"/>
        </w:rPr>
      </w:pPr>
      <w:r>
        <w:rPr>
          <w:rStyle w:val="Letterb"/>
          <w:rFonts w:cs="Arial" w:ascii="Arial" w:hAnsi="Arial"/>
          <w:spacing w:val="-2"/>
        </w:rPr>
        <w:t>There are no Federal Clean Air Act (CAA) requirements or emissions limits for fuel cell power plants. The power plants will not be subject to CAA Section 112r Risk Management Program (RMP) if the amounts of hydrogen manufactured from natural gas and stored on-site as the fuel for the fuel cells will be less than the 10,000 lbs threshold amount needed to trigger the RMP program. The power plants will also not need CAA Title V Operating permits because they will not be major sources (100 tpy) and are not subject to any other Federal emissions standards.</w:t>
      </w:r>
    </w:p>
    <w:p>
      <w:pPr>
        <w:pStyle w:val="Lettera"/>
        <w:numPr>
          <w:ilvl w:val="0"/>
          <w:numId w:val="3"/>
        </w:numPr>
        <w:spacing w:lineRule="auto" w:line="264"/>
        <w:jc w:val="both"/>
        <w:rPr>
          <w:rStyle w:val="Letterb"/>
          <w:rFonts w:ascii="Arial" w:hAnsi="Arial" w:cs="Arial"/>
          <w:spacing w:val="-2"/>
        </w:rPr>
      </w:pPr>
      <w:r>
        <w:rPr>
          <w:rStyle w:val="Letterb"/>
          <w:rFonts w:cs="Arial" w:ascii="Arial" w:hAnsi="Arial"/>
          <w:spacing w:val="-2"/>
        </w:rPr>
        <w:t>State of Connecticut Department of Environmental Protection (CTDEP) air permitting requirements will apply only to the 30 MW power plant, since CO emissions can exceed 5 tons per year. Requirements include application of Best Available Control Technology (BACT) and a state Permit to Operate.</w:t>
      </w:r>
    </w:p>
    <w:p>
      <w:pPr>
        <w:pStyle w:val="Lettera"/>
        <w:numPr>
          <w:ilvl w:val="0"/>
          <w:numId w:val="3"/>
        </w:numPr>
        <w:spacing w:lineRule="auto" w:line="264"/>
        <w:jc w:val="both"/>
        <w:rPr>
          <w:rStyle w:val="Letterb"/>
          <w:rFonts w:ascii="Arial" w:hAnsi="Arial" w:cs="Arial"/>
          <w:spacing w:val="-2"/>
        </w:rPr>
      </w:pPr>
      <w:r>
        <w:rPr>
          <w:rStyle w:val="Letterb"/>
          <w:rFonts w:cs="Arial" w:ascii="Arial" w:hAnsi="Arial"/>
          <w:spacing w:val="-2"/>
        </w:rPr>
        <w:t>Neither a Permit to Construct nor a demonstration of compliance with the National Ambient Air Quality Standards (NAAQS) is required because each facility’s emissions are below the 15 ton per year triggering threshold in the CTDEP regulations.  Nevertheless, screening level dispersion modeling performed by ENSR indicates that predicted air pollutant impacts from the fuel cells are orders of magnitude below the NAAQS and less than levels deemed by the US EPA to be insignificant.</w:t>
      </w:r>
    </w:p>
    <w:p>
      <w:pPr>
        <w:pStyle w:val="Lettera"/>
        <w:spacing w:lineRule="auto" w:line="264"/>
        <w:jc w:val="both"/>
        <w:rPr>
          <w:rStyle w:val="Letterb"/>
          <w:rFonts w:ascii="Arial" w:hAnsi="Arial" w:cs="Arial"/>
          <w:b/>
          <w:spacing w:val="-2"/>
          <w:u w:val="single"/>
        </w:rPr>
      </w:pPr>
      <w:r>
        <w:rPr/>
      </w:r>
    </w:p>
    <w:p>
      <w:pPr>
        <w:pStyle w:val="Lettera"/>
        <w:spacing w:lineRule="auto" w:line="264"/>
        <w:ind w:start="360" w:end="0"/>
        <w:jc w:val="both"/>
        <w:rPr/>
      </w:pPr>
      <w:r>
        <w:rPr>
          <w:rStyle w:val="Letterb"/>
          <w:rFonts w:cs="Arial" w:ascii="Arial" w:hAnsi="Arial"/>
          <w:b/>
          <w:spacing w:val="-2"/>
          <w:u w:val="single"/>
        </w:rPr>
        <w:t>Discussion</w:t>
      </w:r>
    </w:p>
    <w:p>
      <w:pPr>
        <w:pStyle w:val="Lettera"/>
        <w:spacing w:lineRule="auto" w:line="264"/>
        <w:jc w:val="both"/>
        <w:rPr>
          <w:rStyle w:val="Letterb"/>
          <w:rFonts w:ascii="Arial" w:hAnsi="Arial" w:cs="Arial"/>
          <w:b/>
          <w:spacing w:val="-2"/>
          <w:u w:val="single"/>
        </w:rPr>
      </w:pPr>
      <w:r>
        <w:rPr/>
      </w:r>
    </w:p>
    <w:p>
      <w:pPr>
        <w:pStyle w:val="Lettera"/>
        <w:spacing w:lineRule="auto" w:line="264"/>
        <w:jc w:val="both"/>
        <w:rPr/>
      </w:pPr>
      <w:r>
        <w:rPr>
          <w:rStyle w:val="Letterb"/>
          <w:rFonts w:cs="Arial" w:ascii="Arial" w:hAnsi="Arial"/>
          <w:spacing w:val="-2"/>
        </w:rPr>
        <w:t>Section 22a-174-3 of the Connecticut Air Pollution Control Regulations (Regulations) identifies those stationary sources that are required to obtain Permits to Construct and Permits to Operate.  The proposed fuel cell power plants are stationary sources.  The Regulations contain 5 tons per year (tpy) and 15 tpy thresholds.  Sources with the potential to emit any individual pollutant in amounts equal to or greater than 5 tpy are required to apply Best Available Control Technology (BACT) to minimize air pollutant emissions and are required to obtain a Permit to Operate prior to commencing operation.  In addition to the requirements for 5 tpy sources, sources with a potential to emit any individual pollutant in amounts equal to or greater than 15 tpy must obtain a Permit to Construct prior to commencement of construction.</w:t>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spacing w:val="-2"/>
        </w:rPr>
        <w:t>The proposed fuel cell technology produces only trace amounts of nitrogen oxide (NOx) emissions, precursors of ozone. Emissions of carbon monoxide (CO) and volatile organic compounds (VOC), although measurable, are quite low and are comparable to those from low emitting natural gas fired turbines. Particulate matter (PM) is not listed in the manufacturer’s specifications mentioned above. PM emissions from natural gas-fired turbines are quite small and are associated with the trace amounts of particulate in the natural gas, condensable organics produced in the combustion process and, finally, minor contributions from lube oils and particulate in the ambient air. PM emissions from natural gas fired turbines are typically only 10-20% of CO emissions. Assuming a similar relationship between particulate and CO emissions in a fuel cell power plant, PM emissions will be insignificant.</w:t>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spacing w:val="-2"/>
        </w:rPr>
        <w:t>Based on the above table, the only pollutants of any significance with respect to the 5 and 15 tpy thresholds are carbon monoxide (CO) and volatile organic compounds (VOC, as methane). A 2 MW fuel cell power plant does not need an air permit from the Connecticut DEP because emissions of any individual air pollutant are less than 5 tpy.  Likewise, a 10 MW fuel cell power plant does not need an air permit, although this will depend upon final emission guarantees from the manufacturer.  The 30 MW power plant requires only a permit to operate.  This means that all fuel cell power plants of 30 MW or less could commence construction without having to obtain a Permit to Construct.</w:t>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spacing w:val="-2"/>
        </w:rPr>
        <w:t>ENSR’s emission calculations indicate that CO emissions for a 10 MW fuel cell power plant are 4.9 tpy and for a 30 MW power plant are 14.7 tpy.  These emission rates are very close to the 5 tpy and 15 tpy triggering thresholds for a Permit to Operate and Permit to Construct, respectively.  If guaranteed emissions for CO are slightly higher than the ENSR calculated emissions, additional permitting requirements will be invoked for the 10 MW and 30 MW sizes.</w:t>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spacing w:val="-2"/>
        </w:rPr>
        <w:t>The Regulations require application of BACT for sources needing a Permit to Operate. To ENSR’s knowledge, BACT for fuel cell power plants has not been established in Connecticut. BACT will likely default to be operation of the fuel cells according to the manufacturer’s specifications.  Because of the BACT requirement, the newness of the technology, and the minimal emissions, ENSR recommends that ENA convene a preapplication meeting to present the proposed projects.  The topic of discussion could be timing of the proposed construction, site locations (if known), guaranteed emission levels, BACT as it applies to fuel cell power plants.  It is appropriate at this early stage to seek CTDEP signoff on BACT for the 30 MW fuel cell power plant and verification that only the 30 MW power plant requires a Permit to Operate.</w:t>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spacing w:val="-2"/>
        </w:rPr>
        <w:t>According to Section 22a-174-3, only sources that require a Permit to Construct are required to perform dispersion modeling to demonstrate compliance with the National Ambient Air Quality Standards.  Since the proposed fuel cell power plants do not require a Permit to Construct, dispersion modeling is not needed. Nevertheless, because this technology is new and the CTDEP permit engineers may not be familiar with it, ENSR conducted screening level modeling of CO emissions and compared these predicted impacts with EPA’s significant impact levels and with the NAAQS.  The SILs, which are only a small fraction of the NAAQS, were established by the EPA as an easy way of demonstrating that a source has very small impacts.  The modeling indicated that even the 30 MW fuel cell power plant’s CO impacts are well below the SILs.</w:t>
      </w:r>
    </w:p>
    <w:p>
      <w:pPr>
        <w:pStyle w:val="Lettera"/>
        <w:spacing w:lineRule="auto" w:line="264"/>
        <w:jc w:val="both"/>
        <w:rPr>
          <w:rStyle w:val="Letterb"/>
          <w:rFonts w:ascii="Arial" w:hAnsi="Arial" w:cs="Arial"/>
          <w:spacing w:val="-2"/>
        </w:rPr>
      </w:pPr>
      <w:r>
        <w:rPr/>
      </w:r>
    </w:p>
    <w:p>
      <w:pPr>
        <w:pStyle w:val="Lettera"/>
        <w:spacing w:lineRule="auto" w:line="264"/>
        <w:jc w:val="both"/>
        <w:rPr>
          <w:rStyle w:val="Letterb"/>
          <w:rFonts w:ascii="Arial" w:hAnsi="Arial" w:cs="Arial"/>
          <w:spacing w:val="-2"/>
        </w:rPr>
      </w:pPr>
      <w:r>
        <w:rPr/>
      </w:r>
    </w:p>
    <w:p>
      <w:pPr>
        <w:pStyle w:val="Heading1"/>
        <w:ind w:hanging="0" w:start="0"/>
        <w:rPr/>
      </w:pPr>
      <w:r>
        <w:rPr>
          <w:rFonts w:cs="Arial" w:ascii="Arial" w:hAnsi="Arial"/>
          <w:sz w:val="24"/>
          <w:u w:val="single"/>
        </w:rPr>
        <w:t>Summary of ENSR’s Qualifications</w:t>
      </w:r>
    </w:p>
    <w:p>
      <w:pPr>
        <w:pStyle w:val="Normal"/>
        <w:rPr>
          <w:rFonts w:ascii="Arial" w:hAnsi="Arial" w:cs="Arial"/>
          <w:sz w:val="24"/>
          <w:u w:val="single"/>
        </w:rPr>
      </w:pPr>
      <w:r>
        <w:rPr>
          <w:rFonts w:cs="Arial" w:ascii="Arial" w:hAnsi="Arial"/>
          <w:sz w:val="24"/>
          <w:u w:val="single"/>
        </w:rPr>
      </w:r>
    </w:p>
    <w:p>
      <w:pPr>
        <w:pStyle w:val="BodyText"/>
        <w:spacing w:lineRule="auto" w:line="264"/>
        <w:rPr>
          <w:sz w:val="22"/>
        </w:rPr>
      </w:pPr>
      <w:r>
        <w:rPr>
          <w:sz w:val="22"/>
        </w:rPr>
        <w:t>ENSR is highly qualified to provide the necessary environmental support, not only on the air permitting for the proposed facilities but all other environmental permitting, licensing and other approvals.  ENSR was founded in 1968 as a New England based corporation and has been providing full service environmental consulting and engineering support to New England industry for more than thirty years.  ENSR has provided environmental permitting services to more than 200 proposed power generation facilities over the past 20 years, including 68 natural gas fired facilities over the past two years.  Of our 1300 technical staff nationwide, 300 are based in New England offices.  ENSR has worked for Connecticut industry on a multitude of projects since 1974.  This includes the initial siting studies for the proposed Bridgeport Resource Recovery Facility in 1985, permitting support for the proposed Wallingford Resource Recovery facility in 1986 and projects over the years for firms such as United Technologies, Pratt &amp; Whitney Aircraft, Pfizer Incorporated, Olin Corporation, Kimberly Clark, IBM, U.S. Navy, and Northeast Utilities.  We are currently providing ambient air quality dioxin monitoring services to the CTDEP under a multi-year contract.  ENSR also this year performed a comprehensive review of power plant siting and licensing requirements in Connecticut for a major independent power producer.  ENSR is thoroughly versed in CTDEP requirements, procedures and policies and has interacted with numerous DEP staff at many levels within the agency.</w:t>
      </w:r>
    </w:p>
    <w:p>
      <w:pPr>
        <w:pStyle w:val="BodyText"/>
        <w:spacing w:lineRule="auto" w:line="264"/>
        <w:rPr>
          <w:sz w:val="22"/>
        </w:rPr>
      </w:pPr>
      <w:r>
        <w:rPr>
          <w:sz w:val="22"/>
        </w:rPr>
      </w:r>
    </w:p>
    <w:p>
      <w:pPr>
        <w:pStyle w:val="BodyText"/>
        <w:spacing w:lineRule="auto" w:line="264"/>
        <w:rPr>
          <w:sz w:val="22"/>
        </w:rPr>
      </w:pPr>
      <w:r>
        <w:rPr>
          <w:sz w:val="22"/>
        </w:rPr>
        <w:t>ENSR can assist in all phases of permitting, including site assessments, water/wastewater, air, ecology, land use and cultural resources.</w:t>
      </w:r>
    </w:p>
    <w:p>
      <w:pPr>
        <w:pStyle w:val="Lettera"/>
        <w:spacing w:lineRule="auto" w:line="264"/>
        <w:jc w:val="both"/>
        <w:rPr>
          <w:rStyle w:val="Letterb"/>
          <w:rFonts w:ascii="Arial" w:hAnsi="Arial" w:cs="Arial"/>
          <w:spacing w:val="-2"/>
        </w:rPr>
      </w:pPr>
      <w:r>
        <w:rPr>
          <w:sz w:val="22"/>
        </w:rPr>
      </w:r>
    </w:p>
    <w:p>
      <w:pPr>
        <w:pStyle w:val="Lettera"/>
        <w:spacing w:lineRule="auto" w:line="264"/>
        <w:jc w:val="both"/>
        <w:rPr>
          <w:rStyle w:val="Letterb"/>
          <w:rFonts w:ascii="Arial" w:hAnsi="Arial" w:cs="Arial"/>
          <w:spacing w:val="-2"/>
        </w:rPr>
      </w:pPr>
      <w:r>
        <w:rPr/>
      </w:r>
    </w:p>
    <w:p>
      <w:pPr>
        <w:pStyle w:val="Lettera"/>
        <w:spacing w:lineRule="auto" w:line="264"/>
        <w:jc w:val="both"/>
        <w:rPr>
          <w:rStyle w:val="Letterb"/>
          <w:rFonts w:ascii="Arial" w:hAnsi="Arial" w:cs="Arial"/>
          <w:spacing w:val="-2"/>
        </w:rPr>
      </w:pPr>
      <w:r>
        <w:rPr/>
      </w:r>
    </w:p>
    <w:p>
      <w:pPr>
        <w:pStyle w:val="Lettera"/>
        <w:spacing w:lineRule="auto" w:line="264"/>
        <w:jc w:val="both"/>
        <w:rPr>
          <w:rStyle w:val="Letterb"/>
          <w:rFonts w:ascii="Arial" w:hAnsi="Arial" w:cs="Arial"/>
          <w:spacing w:val="-2"/>
        </w:rPr>
      </w:pPr>
      <w:r>
        <w:rPr/>
      </w:r>
    </w:p>
    <w:p>
      <w:pPr>
        <w:pStyle w:val="Lettera"/>
        <w:spacing w:lineRule="auto" w:line="264"/>
        <w:jc w:val="both"/>
        <w:rPr>
          <w:rStyle w:val="Letterb"/>
          <w:rFonts w:ascii="Arial" w:hAnsi="Arial" w:cs="Arial"/>
          <w:spacing w:val="-2"/>
        </w:rPr>
      </w:pPr>
      <w:r>
        <w:rPr/>
      </w:r>
    </w:p>
    <w:p>
      <w:pPr>
        <w:pStyle w:val="Lettera"/>
        <w:spacing w:lineRule="auto" w:line="264"/>
        <w:jc w:val="both"/>
        <w:rPr>
          <w:rStyle w:val="Letterb"/>
          <w:rFonts w:ascii="Arial" w:hAnsi="Arial" w:cs="Arial"/>
          <w:spacing w:val="-2"/>
        </w:rPr>
      </w:pPr>
      <w:r>
        <w:rPr/>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b/>
          <w:spacing w:val="-2"/>
          <w:sz w:val="24"/>
          <w:u w:val="single"/>
        </w:rPr>
        <w:t>General Scope and Budgetary Costs For Air Permitting</w:t>
      </w:r>
    </w:p>
    <w:p>
      <w:pPr>
        <w:pStyle w:val="Lettera"/>
        <w:spacing w:lineRule="auto" w:line="264"/>
        <w:jc w:val="both"/>
        <w:rPr>
          <w:rStyle w:val="Letterb"/>
          <w:rFonts w:ascii="Arial" w:hAnsi="Arial" w:cs="Arial"/>
          <w:b/>
          <w:spacing w:val="-2"/>
          <w:u w:val="single"/>
        </w:rPr>
      </w:pPr>
      <w:r>
        <w:rPr/>
      </w:r>
    </w:p>
    <w:p>
      <w:pPr>
        <w:pStyle w:val="Lettera"/>
        <w:spacing w:lineRule="auto" w:line="264"/>
        <w:jc w:val="both"/>
        <w:rPr/>
      </w:pPr>
      <w:r>
        <w:rPr>
          <w:rStyle w:val="Letterb"/>
          <w:rFonts w:cs="Arial" w:ascii="Arial" w:hAnsi="Arial"/>
          <w:spacing w:val="-2"/>
        </w:rPr>
        <w:t>ENSR proposes the following sequence of activities to verify applicability issues and to secure required air permits from the CTDEP:</w:t>
      </w:r>
    </w:p>
    <w:p>
      <w:pPr>
        <w:pStyle w:val="Lettera"/>
        <w:spacing w:lineRule="auto" w:line="264"/>
        <w:jc w:val="both"/>
        <w:rPr>
          <w:rStyle w:val="Letterb"/>
          <w:rFonts w:ascii="Arial" w:hAnsi="Arial" w:cs="Arial"/>
          <w:spacing w:val="-2"/>
        </w:rPr>
      </w:pPr>
      <w:r>
        <w:rPr/>
      </w:r>
    </w:p>
    <w:p>
      <w:pPr>
        <w:pStyle w:val="Lettera"/>
        <w:numPr>
          <w:ilvl w:val="0"/>
          <w:numId w:val="2"/>
        </w:numPr>
        <w:spacing w:lineRule="auto" w:line="264"/>
        <w:jc w:val="both"/>
        <w:rPr>
          <w:rStyle w:val="Letterb"/>
          <w:rFonts w:ascii="Arial" w:hAnsi="Arial" w:cs="Arial"/>
          <w:spacing w:val="-2"/>
        </w:rPr>
      </w:pPr>
      <w:r>
        <w:rPr>
          <w:rStyle w:val="Letterb"/>
          <w:rFonts w:cs="Arial" w:ascii="Arial" w:hAnsi="Arial"/>
          <w:spacing w:val="-2"/>
        </w:rPr>
        <w:t xml:space="preserve">Task 1: </w:t>
        <w:tab/>
        <w:t>Verify Estimates and Finalize Site Layout</w:t>
      </w:r>
    </w:p>
    <w:p>
      <w:pPr>
        <w:pStyle w:val="Lettera"/>
        <w:numPr>
          <w:ilvl w:val="0"/>
          <w:numId w:val="2"/>
        </w:numPr>
        <w:spacing w:lineRule="auto" w:line="264"/>
        <w:jc w:val="both"/>
        <w:rPr>
          <w:rStyle w:val="Letterb"/>
          <w:rFonts w:ascii="Arial" w:hAnsi="Arial" w:cs="Arial"/>
          <w:spacing w:val="-2"/>
        </w:rPr>
      </w:pPr>
      <w:r>
        <w:rPr>
          <w:rStyle w:val="Letterb"/>
          <w:rFonts w:cs="Arial" w:ascii="Arial" w:hAnsi="Arial"/>
          <w:spacing w:val="-2"/>
        </w:rPr>
        <w:t>Task 2:</w:t>
        <w:tab/>
        <w:t>Preapplication Meeting with the CTDEP (one meeting for all sites)</w:t>
      </w:r>
    </w:p>
    <w:p>
      <w:pPr>
        <w:pStyle w:val="Lettera"/>
        <w:numPr>
          <w:ilvl w:val="0"/>
          <w:numId w:val="2"/>
        </w:numPr>
        <w:spacing w:lineRule="auto" w:line="264"/>
        <w:jc w:val="both"/>
        <w:rPr>
          <w:rStyle w:val="Letterb"/>
          <w:rFonts w:ascii="Arial" w:hAnsi="Arial" w:cs="Arial"/>
          <w:spacing w:val="-2"/>
        </w:rPr>
      </w:pPr>
      <w:r>
        <w:rPr>
          <w:rStyle w:val="Letterb"/>
          <w:rFonts w:cs="Arial" w:ascii="Arial" w:hAnsi="Arial"/>
          <w:spacing w:val="-2"/>
        </w:rPr>
        <w:t>Task 3:</w:t>
        <w:tab/>
        <w:t>Prepare BACT and Application for Permit to Operate (30 MW only)</w:t>
      </w:r>
    </w:p>
    <w:p>
      <w:pPr>
        <w:pStyle w:val="Lettera"/>
        <w:numPr>
          <w:ilvl w:val="0"/>
          <w:numId w:val="2"/>
        </w:numPr>
        <w:spacing w:lineRule="auto" w:line="264"/>
        <w:jc w:val="both"/>
        <w:rPr>
          <w:rStyle w:val="Letterb"/>
          <w:rFonts w:ascii="Arial" w:hAnsi="Arial" w:cs="Arial"/>
          <w:spacing w:val="-2"/>
        </w:rPr>
      </w:pPr>
      <w:r>
        <w:rPr>
          <w:rStyle w:val="Letterb"/>
          <w:rFonts w:cs="Arial" w:ascii="Arial" w:hAnsi="Arial"/>
          <w:spacing w:val="-2"/>
        </w:rPr>
        <w:t>Task 4:</w:t>
        <w:tab/>
        <w:t>Respond to CTDEP Comments</w:t>
      </w:r>
    </w:p>
    <w:p>
      <w:pPr>
        <w:pStyle w:val="Lettera"/>
        <w:numPr>
          <w:ilvl w:val="0"/>
          <w:numId w:val="2"/>
        </w:numPr>
        <w:spacing w:lineRule="auto" w:line="264"/>
        <w:jc w:val="both"/>
        <w:rPr>
          <w:rStyle w:val="Letterb"/>
          <w:rFonts w:ascii="Arial" w:hAnsi="Arial" w:cs="Arial"/>
          <w:spacing w:val="-2"/>
        </w:rPr>
      </w:pPr>
      <w:r>
        <w:rPr>
          <w:rStyle w:val="Letterb"/>
          <w:rFonts w:cs="Arial" w:ascii="Arial" w:hAnsi="Arial"/>
          <w:spacing w:val="-2"/>
        </w:rPr>
        <w:t>Task 5:</w:t>
        <w:tab/>
        <w:t>Startup Testing (to verify emissions), if necessary</w:t>
      </w:r>
    </w:p>
    <w:p>
      <w:pPr>
        <w:pStyle w:val="Lettera"/>
        <w:numPr>
          <w:ilvl w:val="0"/>
          <w:numId w:val="2"/>
        </w:numPr>
        <w:spacing w:lineRule="auto" w:line="264"/>
        <w:jc w:val="both"/>
        <w:rPr>
          <w:rStyle w:val="Letterb"/>
          <w:rFonts w:ascii="Arial" w:hAnsi="Arial" w:cs="Arial"/>
          <w:spacing w:val="-2"/>
        </w:rPr>
      </w:pPr>
      <w:r>
        <w:rPr>
          <w:rStyle w:val="Letterb"/>
          <w:rFonts w:cs="Arial" w:ascii="Arial" w:hAnsi="Arial"/>
          <w:spacing w:val="-2"/>
        </w:rPr>
        <w:t xml:space="preserve">Task 6: </w:t>
        <w:tab/>
        <w:t>Secure Permit to Operate</w:t>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spacing w:val="-2"/>
        </w:rPr>
        <w:t>ENSR would attend a preapplication meeting with the CTDEP, prepare the BACT analysis for the 30 MW plant, prepare the Permit to Operate application and respond to comments. The estimated budgetary cost for these tasks is an upper limit of $15,000. ENSR could also perform emission testing for a representative 2 MW unit. A budgetary upper estimate for NOx, CO, VOC and PM testing for one unit, including a test plan, is $25,000.</w:t>
      </w:r>
    </w:p>
    <w:p>
      <w:pPr>
        <w:pStyle w:val="Lettera"/>
        <w:spacing w:lineRule="auto" w:line="264"/>
        <w:jc w:val="both"/>
        <w:rPr>
          <w:rStyle w:val="Letterb"/>
          <w:rFonts w:ascii="Arial" w:hAnsi="Arial" w:cs="Arial"/>
          <w:spacing w:val="-2"/>
        </w:rPr>
      </w:pPr>
      <w:r>
        <w:rPr/>
      </w:r>
    </w:p>
    <w:p>
      <w:pPr>
        <w:pStyle w:val="Lettera"/>
        <w:spacing w:lineRule="auto" w:line="264"/>
        <w:jc w:val="both"/>
        <w:rPr/>
      </w:pPr>
      <w:r>
        <w:rPr>
          <w:rStyle w:val="Letterb"/>
          <w:rFonts w:cs="Arial" w:ascii="Arial" w:hAnsi="Arial"/>
          <w:spacing w:val="-2"/>
        </w:rPr>
        <w:t>We hope that this discussion is helpful to ENA and we look forward to working with ENA on this important project. If you have any questions, please call either of us at (978) 635-9500.</w:t>
      </w:r>
    </w:p>
    <w:p>
      <w:pPr>
        <w:pStyle w:val="Lettera"/>
        <w:spacing w:lineRule="auto" w:line="264"/>
        <w:jc w:val="both"/>
        <w:rPr>
          <w:rStyle w:val="Letterb"/>
          <w:rFonts w:ascii="Arial" w:hAnsi="Arial" w:cs="Arial"/>
          <w:spacing w:val="-2"/>
        </w:rPr>
      </w:pPr>
      <w:r>
        <w:rPr/>
      </w:r>
    </w:p>
    <w:p>
      <w:pPr>
        <w:pStyle w:val="Lettera"/>
        <w:keepNext w:val="true"/>
        <w:keepLines/>
        <w:widowControl/>
        <w:spacing w:lineRule="auto" w:line="264"/>
        <w:rPr/>
      </w:pPr>
      <w:r>
        <w:rPr>
          <w:rStyle w:val="Letterb"/>
          <w:rFonts w:cs="Arial" w:ascii="Arial" w:hAnsi="Arial"/>
          <w:spacing w:val="-2"/>
        </w:rPr>
        <w:t>Sincerely,</w:t>
      </w:r>
    </w:p>
    <w:p>
      <w:pPr>
        <w:pStyle w:val="Lettera"/>
        <w:keepNext w:val="true"/>
        <w:keepLines/>
        <w:widowControl/>
        <w:spacing w:lineRule="auto" w:line="264"/>
        <w:jc w:val="both"/>
        <w:rPr>
          <w:rStyle w:val="Letterb"/>
          <w:rFonts w:ascii="Arial" w:hAnsi="Arial" w:cs="Arial"/>
          <w:spacing w:val="-2"/>
        </w:rPr>
      </w:pPr>
      <w:r>
        <w:rPr/>
      </w:r>
    </w:p>
    <w:p>
      <w:pPr>
        <w:pStyle w:val="Lettera"/>
        <w:keepNext w:val="true"/>
        <w:keepLines/>
        <w:widowControl/>
        <w:spacing w:lineRule="auto" w:line="264"/>
        <w:jc w:val="both"/>
        <w:rPr>
          <w:rStyle w:val="Letterb"/>
          <w:rFonts w:ascii="Arial" w:hAnsi="Arial" w:cs="Arial"/>
          <w:spacing w:val="-2"/>
        </w:rPr>
      </w:pPr>
      <w:r>
        <w:rPr/>
      </w:r>
    </w:p>
    <w:p>
      <w:pPr>
        <w:pStyle w:val="Lettera"/>
        <w:keepNext w:val="true"/>
        <w:keepLines/>
        <w:widowControl/>
        <w:spacing w:lineRule="auto" w:line="264"/>
        <w:jc w:val="both"/>
        <w:rPr>
          <w:rStyle w:val="Letterb"/>
          <w:rFonts w:ascii="Arial" w:hAnsi="Arial" w:cs="Arial"/>
          <w:spacing w:val="-2"/>
        </w:rPr>
      </w:pPr>
      <w:r>
        <w:rPr/>
      </w:r>
    </w:p>
    <w:tbl>
      <w:tblPr>
        <w:tblW w:w="9144" w:type="dxa"/>
        <w:jc w:val="start"/>
        <w:tblInd w:w="0" w:type="dxa"/>
        <w:tblLayout w:type="fixed"/>
        <w:tblCellMar>
          <w:top w:w="0" w:type="dxa"/>
          <w:start w:w="108" w:type="dxa"/>
          <w:bottom w:w="0" w:type="dxa"/>
          <w:end w:w="108" w:type="dxa"/>
        </w:tblCellMar>
      </w:tblPr>
      <w:tblGrid>
        <w:gridCol w:w="4572"/>
        <w:gridCol w:w="4572"/>
      </w:tblGrid>
      <w:tr>
        <w:trPr/>
        <w:tc>
          <w:tcPr>
            <w:tcW w:w="4572" w:type="dxa"/>
            <w:tcBorders/>
          </w:tcPr>
          <w:p>
            <w:pPr>
              <w:pStyle w:val="Lettera"/>
              <w:keepNext w:val="true"/>
              <w:keepLines/>
              <w:widowControl/>
              <w:spacing w:lineRule="auto" w:line="264"/>
              <w:rPr/>
            </w:pPr>
            <w:bookmarkStart w:id="6" w:name="Sign1"/>
            <w:bookmarkEnd w:id="6"/>
            <w:r>
              <w:rPr>
                <w:rStyle w:val="Letterb"/>
                <w:rFonts w:cs="Arial" w:ascii="Arial" w:hAnsi="Arial"/>
                <w:spacing w:val="-2"/>
              </w:rPr>
              <w:t>David M.Shea</w:t>
            </w:r>
          </w:p>
        </w:tc>
        <w:tc>
          <w:tcPr>
            <w:tcW w:w="4572" w:type="dxa"/>
            <w:tcBorders/>
          </w:tcPr>
          <w:p>
            <w:pPr>
              <w:pStyle w:val="Lettera"/>
              <w:keepNext w:val="true"/>
              <w:keepLines/>
              <w:widowControl/>
              <w:spacing w:lineRule="auto" w:line="264"/>
              <w:rPr/>
            </w:pPr>
            <w:bookmarkStart w:id="7" w:name="Sign2"/>
            <w:bookmarkEnd w:id="7"/>
            <w:r>
              <w:rPr>
                <w:rStyle w:val="Letterb"/>
                <w:rFonts w:cs="Arial" w:ascii="Arial" w:hAnsi="Arial"/>
                <w:spacing w:val="-2"/>
              </w:rPr>
              <w:t>Joseph Curreri</w:t>
            </w:r>
          </w:p>
        </w:tc>
      </w:tr>
      <w:tr>
        <w:trPr/>
        <w:tc>
          <w:tcPr>
            <w:tcW w:w="4572" w:type="dxa"/>
            <w:tcBorders/>
          </w:tcPr>
          <w:p>
            <w:pPr>
              <w:pStyle w:val="Lettera"/>
              <w:keepNext w:val="true"/>
              <w:keepLines/>
              <w:widowControl/>
              <w:spacing w:lineRule="auto" w:line="264"/>
              <w:rPr/>
            </w:pPr>
            <w:bookmarkStart w:id="8" w:name="Sign1Title"/>
            <w:bookmarkEnd w:id="8"/>
            <w:r>
              <w:rPr>
                <w:rStyle w:val="Letterb"/>
                <w:rFonts w:cs="Arial" w:ascii="Arial" w:hAnsi="Arial"/>
                <w:spacing w:val="-2"/>
              </w:rPr>
              <w:t>Senior Project Manager</w:t>
            </w:r>
          </w:p>
        </w:tc>
        <w:tc>
          <w:tcPr>
            <w:tcW w:w="4572" w:type="dxa"/>
            <w:tcBorders/>
          </w:tcPr>
          <w:p>
            <w:pPr>
              <w:pStyle w:val="Lettera"/>
              <w:keepNext w:val="true"/>
              <w:keepLines/>
              <w:widowControl/>
              <w:spacing w:lineRule="auto" w:line="264"/>
              <w:rPr/>
            </w:pPr>
            <w:bookmarkStart w:id="9" w:name="Sign2Title"/>
            <w:bookmarkEnd w:id="9"/>
            <w:r>
              <w:rPr>
                <w:rStyle w:val="Letterb"/>
                <w:rFonts w:cs="Arial" w:ascii="Arial" w:hAnsi="Arial"/>
                <w:spacing w:val="-2"/>
              </w:rPr>
              <w:t>Vice President Energy Services</w:t>
            </w:r>
          </w:p>
        </w:tc>
      </w:tr>
    </w:tbl>
    <w:p>
      <w:pPr>
        <w:pStyle w:val="Lettera"/>
        <w:keepNext w:val="true"/>
        <w:keepLines/>
        <w:widowControl/>
        <w:spacing w:lineRule="auto" w:line="264"/>
        <w:rPr>
          <w:rStyle w:val="Letterb"/>
          <w:rFonts w:ascii="Arial" w:hAnsi="Arial" w:cs="Arial"/>
          <w:spacing w:val="-2"/>
        </w:rPr>
      </w:pPr>
      <w:r>
        <w:rPr/>
      </w:r>
    </w:p>
    <w:p>
      <w:pPr>
        <w:pStyle w:val="Lettera"/>
        <w:keepNext w:val="true"/>
        <w:keepLines/>
        <w:widowControl/>
        <w:spacing w:lineRule="auto" w:line="264"/>
        <w:rPr>
          <w:rFonts w:ascii="Arial" w:hAnsi="Arial" w:cs="Arial"/>
          <w:spacing w:val="-2"/>
        </w:rPr>
      </w:pPr>
      <w:r>
        <w:rPr>
          <w:rFonts w:cs="Arial" w:ascii="Arial" w:hAnsi="Arial"/>
          <w:spacing w:val="-2"/>
        </w:rPr>
        <w:t>CC; Stephen Plauche/ENA</w:t>
      </w:r>
    </w:p>
    <w:sectPr>
      <w:headerReference w:type="default" r:id="rId2"/>
      <w:headerReference w:type="first" r:id="rId3"/>
      <w:type w:val="nextPage"/>
      <w:pgSz w:w="12240" w:h="15840"/>
      <w:pgMar w:left="1800" w:right="1512" w:gutter="0" w:header="2304" w:top="2360" w:footer="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11pt">
    <w:altName w:val="Arial"/>
    <w:charset w:val="00" w:characterSet="windows-1252"/>
    <w:family w:val="swiss"/>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\@"MMMM\ d', 'yyyy" </w:instrText>
    </w:r>
    <w:r>
      <w:rPr/>
      <w:fldChar w:fldCharType="separate"/>
    </w:r>
    <w:r>
      <w:rPr/>
      <w:t>September 28, 2025</w:t>
    </w:r>
    <w:r>
      <w:rPr/>
      <w:fldChar w:fldCharType="end"/>
    </w:r>
    <w:bookmarkStart w:id="10" w:name="HeaderName"/>
    <w:bookmarkEnd w:id="10"/>
  </w:p>
  <w:p>
    <w:pPr>
      <w:pStyle w:val="Header"/>
      <w:rPr/>
    </w:pPr>
    <w:r>
      <w:rPr/>
      <w:t>Scott Healey</w:t>
    </w:r>
  </w:p>
  <w:p>
    <w:pPr>
      <w:pStyle w:val="Header"/>
      <w:rPr/>
    </w:pPr>
    <w:r>
      <w:rPr/>
      <w:t xml:space="preserve">Page </w:t>
    </w:r>
    <w:r>
      <w:rPr/>
      <w:fldChar w:fldCharType="begin"/>
    </w:r>
    <w:r>
      <w:rPr/>
      <w:instrText xml:space="preserve"> PAGE </w:instrText>
    </w:r>
    <w:r>
      <w:rPr/>
      <w:fldChar w:fldCharType="separate"/>
    </w:r>
    <w:r>
      <w:rPr/>
      <w:t>5</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Helv 11pt;Arial" w:hAnsi="Helv 11pt;Arial" w:eastAsia="Times New Roman" w:cs="Helv 11pt;Arial"/>
      <w:color w:val="auto"/>
      <w:sz w:val="22"/>
      <w:szCs w:val="20"/>
      <w:lang w:val="en-US" w:eastAsia="en-US" w:bidi="hi-IN"/>
    </w:rPr>
  </w:style>
  <w:style w:type="paragraph" w:styleId="Heading1">
    <w:name w:val="heading 1"/>
    <w:basedOn w:val="Normal"/>
    <w:next w:val="Normal"/>
    <w:qFormat/>
    <w:pPr>
      <w:keepNext w:val="true"/>
      <w:widowControl/>
      <w:numPr>
        <w:ilvl w:val="0"/>
        <w:numId w:val="1"/>
      </w:numPr>
      <w:outlineLvl w:val="0"/>
    </w:pPr>
    <w:rPr>
      <w:rFonts w:ascii="Times New Roman" w:hAnsi="Times New Roman" w:cs="Times New Roman"/>
      <w:b/>
      <w:sz w:val="20"/>
      <w:lang w:eastAsia="en-CA"/>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tter2">
    <w:name w:val="Letter2"/>
    <w:basedOn w:val="DefaultParagraphFont"/>
    <w:qFormat/>
    <w:rPr>
      <w:rFonts w:ascii="Helv 11pt;Arial" w:hAnsi="Helv 11pt;Arial" w:cs="Helv 11pt;Arial"/>
      <w:sz w:val="22"/>
      <w:lang w:val="en-US"/>
    </w:rPr>
  </w:style>
  <w:style w:type="character" w:styleId="Letterb">
    <w:name w:val="Letter(b)"/>
    <w:basedOn w:val="DefaultParagraphFont"/>
    <w:qFormat/>
    <w:rPr>
      <w:rFonts w:ascii="Helv 11pt;Arial" w:hAnsi="Helv 11pt;Arial" w:cs="Helv 11pt;Arial"/>
      <w:sz w:val="22"/>
      <w:lang w:val="en-US"/>
    </w:rPr>
  </w:style>
  <w:style w:type="character" w:styleId="Bullet">
    <w:name w:val="Bullet"/>
    <w:basedOn w:val="DefaultParagraphFont"/>
    <w:qFormat/>
    <w:rPr/>
  </w:style>
  <w:style w:type="character" w:styleId="RegTradeMrk">
    <w:name w:val="RegTradeMrk"/>
    <w:basedOn w:val="DefaultParagraph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rFonts w:ascii="Arial" w:hAnsi="Arial" w:cs="Arial"/>
      <w:sz w:val="24"/>
      <w:lang w:eastAsia="en-CA"/>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JustOff">
    <w:name w:val="JustOff"/>
    <w:qFormat/>
    <w:pPr>
      <w:widowControl w:val="false"/>
      <w:tabs>
        <w:tab w:val="clear" w:pos="720"/>
        <w:tab w:val="left" w:pos="-720" w:leader="none"/>
      </w:tabs>
      <w:suppressAutoHyphens w:val="true"/>
      <w:bidi w:val="0"/>
    </w:pPr>
    <w:rPr>
      <w:rFonts w:ascii="Helv 11pt;Arial" w:hAnsi="Helv 11pt;Arial" w:eastAsia="Times New Roman" w:cs="Helv 11pt;Arial"/>
      <w:color w:val="auto"/>
      <w:sz w:val="22"/>
      <w:szCs w:val="20"/>
      <w:lang w:val="en-US" w:eastAsia="en-US" w:bidi="hi-IN"/>
    </w:rPr>
  </w:style>
  <w:style w:type="paragraph" w:styleId="Lettera">
    <w:name w:val="Letter(a)"/>
    <w:qFormat/>
    <w:pPr>
      <w:widowControl w:val="false"/>
      <w:tabs>
        <w:tab w:val="clear" w:pos="720"/>
        <w:tab w:val="left" w:pos="-1656" w:leader="none"/>
        <w:tab w:val="left" w:pos="-936" w:leader="none"/>
        <w:tab w:val="left" w:pos="0" w:leader="none"/>
        <w:tab w:val="left" w:pos="432" w:leader="none"/>
        <w:tab w:val="left" w:pos="864" w:leader="none"/>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 w:val="left" w:pos="4752" w:leader="none"/>
        <w:tab w:val="left" w:pos="5184" w:leader="none"/>
        <w:tab w:val="left" w:pos="5616" w:leader="none"/>
        <w:tab w:val="left" w:pos="6048" w:leader="none"/>
        <w:tab w:val="left" w:pos="6480" w:leader="none"/>
        <w:tab w:val="left" w:pos="6912" w:leader="none"/>
        <w:tab w:val="left" w:pos="7344" w:leader="none"/>
        <w:tab w:val="left" w:pos="7776" w:leader="none"/>
        <w:tab w:val="left" w:pos="8208" w:leader="none"/>
        <w:tab w:val="left" w:pos="8640" w:leader="none"/>
      </w:tabs>
      <w:suppressAutoHyphens w:val="true"/>
      <w:bidi w:val="0"/>
    </w:pPr>
    <w:rPr>
      <w:rFonts w:ascii="Helv 11pt;Arial" w:hAnsi="Helv 11pt;Arial" w:eastAsia="Times New Roman" w:cs="Helv 11pt;Arial"/>
      <w:color w:val="auto"/>
      <w:sz w:val="22"/>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LetterA.dot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2000-09-14T16:17:00Z</dcterms:created>
  <dc:creator>End User</dc:creator>
  <dc:description/>
  <dc:language>en-CA</dc:language>
  <cp:lastModifiedBy>End User</cp:lastModifiedBy>
  <cp:lastPrinted>2000-09-14T14:47:00Z</cp:lastPrinted>
  <dcterms:modified xsi:type="dcterms:W3CDTF">2000-09-14T16:38:00Z</dcterms:modified>
  <cp:revision>3</cp:revision>
  <dc:subject/>
  <dc:title>ENSR Letter Format 1 </dc:title>
</cp:coreProperties>
</file>