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 w:after="0"/>
        <w:jc w:val="end"/>
        <w:rPr/>
      </w:pPr>
      <w:r>
        <w:rPr/>
        <w:t>, 2001</w:t>
      </w:r>
    </w:p>
    <w:p>
      <w:pPr>
        <w:pStyle w:val="Normal"/>
        <w:spacing w:before="120" w:after="0"/>
        <w:jc w:val="end"/>
        <w:rPr/>
      </w:pPr>
      <w:r>
        <w:rPr/>
      </w:r>
    </w:p>
    <w:p>
      <w:pPr>
        <w:pStyle w:val="Heading1"/>
        <w:ind w:hanging="0" w:start="0"/>
        <w:jc w:val="center"/>
        <w:rPr>
          <w:sz w:val="24"/>
        </w:rPr>
      </w:pPr>
      <w:r>
        <w:rPr>
          <w:sz w:val="24"/>
        </w:rPr>
        <w:t>Transaction</w:t>
      </w:r>
    </w:p>
    <w:p>
      <w:pPr>
        <w:pStyle w:val="Normal"/>
        <w:pBdr>
          <w:bottom w:val="single" w:sz="6" w:space="0" w:color="000000"/>
        </w:pBdr>
        <w:tabs>
          <w:tab w:val="clear" w:pos="720"/>
          <w:tab w:val="right" w:pos="11232" w:leader="none"/>
        </w:tabs>
        <w:spacing w:before="240" w:after="0"/>
        <w:jc w:val="both"/>
        <w:rPr/>
      </w:pPr>
      <w:r>
        <w:rPr/>
        <w:t>Enron Corp.</w:t>
      </w:r>
    </w:p>
    <w:p>
      <w:pPr>
        <w:pStyle w:val="Normal"/>
        <w:pBdr>
          <w:bottom w:val="single" w:sz="6" w:space="0" w:color="000000"/>
        </w:pBdr>
        <w:tabs>
          <w:tab w:val="clear" w:pos="720"/>
          <w:tab w:val="right" w:pos="11232" w:leader="none"/>
        </w:tabs>
        <w:jc w:val="both"/>
        <w:rPr/>
      </w:pPr>
      <w:r>
        <w:rPr/>
        <w:t>1400 Smith Street</w:t>
      </w:r>
    </w:p>
    <w:p>
      <w:pPr>
        <w:pStyle w:val="Normal"/>
        <w:pBdr>
          <w:bottom w:val="single" w:sz="6" w:space="0" w:color="000000"/>
        </w:pBdr>
        <w:tabs>
          <w:tab w:val="clear" w:pos="720"/>
          <w:tab w:val="right" w:pos="11232" w:leader="none"/>
        </w:tabs>
        <w:jc w:val="both"/>
        <w:rPr/>
      </w:pPr>
      <w:r>
        <w:rPr/>
        <w:t>Houston, TX 77002</w:t>
      </w:r>
    </w:p>
    <w:p>
      <w:pPr>
        <w:pStyle w:val="Normal"/>
        <w:pBdr>
          <w:bottom w:val="single" w:sz="6" w:space="0" w:color="000000"/>
        </w:pBdr>
        <w:tabs>
          <w:tab w:val="clear" w:pos="720"/>
          <w:tab w:val="right" w:pos="11232" w:leader="none"/>
        </w:tabs>
        <w:jc w:val="both"/>
        <w:rPr/>
      </w:pPr>
      <w:r>
        <w:rPr/>
        <w:t>Attention:  Sara Shackleton</w:t>
      </w:r>
    </w:p>
    <w:p>
      <w:pPr>
        <w:pStyle w:val="Normal"/>
        <w:pBdr>
          <w:bottom w:val="single" w:sz="6" w:space="0" w:color="000000"/>
        </w:pBdr>
        <w:tabs>
          <w:tab w:val="clear" w:pos="720"/>
          <w:tab w:val="right" w:pos="11232" w:leader="none"/>
        </w:tabs>
        <w:jc w:val="both"/>
        <w:rPr/>
      </w:pPr>
      <w:r>
        <w:rPr/>
        <w:t>Telephone: 713-853-5620</w:t>
      </w:r>
    </w:p>
    <w:p>
      <w:pPr>
        <w:pStyle w:val="Normal"/>
        <w:pBdr>
          <w:bottom w:val="single" w:sz="6" w:space="0" w:color="000000"/>
        </w:pBdr>
        <w:tabs>
          <w:tab w:val="clear" w:pos="720"/>
          <w:tab w:val="right" w:pos="11232" w:leader="none"/>
        </w:tabs>
        <w:jc w:val="both"/>
        <w:rPr/>
      </w:pPr>
      <w:r>
        <w:rPr/>
        <w:t>Facsimile:  713-646-3393</w:t>
      </w:r>
    </w:p>
    <w:p>
      <w:pPr>
        <w:pStyle w:val="Normal"/>
        <w:tabs>
          <w:tab w:val="clear" w:pos="720"/>
          <w:tab w:val="left" w:pos="9648" w:leader="none"/>
        </w:tabs>
        <w:jc w:val="both"/>
        <w:rPr/>
      </w:pPr>
      <w:r>
        <w:rPr/>
      </w:r>
    </w:p>
    <w:p>
      <w:pPr>
        <w:pStyle w:val="Normal"/>
        <w:tabs>
          <w:tab w:val="clear" w:pos="720"/>
          <w:tab w:val="left" w:pos="1440" w:leader="none"/>
          <w:tab w:val="left" w:pos="9648" w:leader="none"/>
        </w:tabs>
        <w:jc w:val="both"/>
        <w:rPr/>
      </w:pPr>
      <w:r>
        <w:rPr/>
        <w:t xml:space="preserve">Master Number:  </w:t>
        <w:tab/>
        <w:t>51509ECOR</w:t>
      </w:r>
    </w:p>
    <w:p>
      <w:pPr>
        <w:pStyle w:val="Normal"/>
        <w:tabs>
          <w:tab w:val="clear" w:pos="720"/>
          <w:tab w:val="left" w:pos="1440" w:leader="none"/>
        </w:tabs>
        <w:jc w:val="both"/>
        <w:rPr/>
      </w:pPr>
      <w:r>
        <w:rPr/>
        <w:t xml:space="preserve">Global Deal Id: </w:t>
        <w:tab/>
      </w:r>
    </w:p>
    <w:p>
      <w:pPr>
        <w:pStyle w:val="Normal"/>
        <w:tabs>
          <w:tab w:val="clear" w:pos="720"/>
          <w:tab w:val="left" w:pos="1440" w:leader="none"/>
        </w:tabs>
        <w:jc w:val="both"/>
        <w:rPr/>
      </w:pPr>
      <w:r>
        <w:rPr/>
        <w:t xml:space="preserve">Effort Id: </w:t>
        <w:tab/>
        <w:t xml:space="preserve"> (pf)</w:t>
      </w:r>
    </w:p>
    <w:p>
      <w:pPr>
        <w:pStyle w:val="Normal"/>
        <w:tabs>
          <w:tab w:val="clear" w:pos="720"/>
          <w:tab w:val="left" w:pos="1440" w:leader="none"/>
          <w:tab w:val="left" w:pos="9648" w:leader="none"/>
        </w:tabs>
        <w:jc w:val="both"/>
        <w:rPr/>
      </w:pPr>
      <w:r>
        <w:rPr/>
        <w:t>LBF Reference:</w:t>
        <w:tab/>
        <w:t xml:space="preserve"> </w:t>
      </w:r>
    </w:p>
    <w:p>
      <w:pPr>
        <w:pStyle w:val="Normal"/>
        <w:tabs>
          <w:tab w:val="clear" w:pos="720"/>
          <w:tab w:val="left" w:pos="9648" w:leader="none"/>
        </w:tabs>
        <w:spacing w:before="240" w:after="0"/>
        <w:jc w:val="both"/>
        <w:rPr/>
      </w:pPr>
      <w:r>
        <w:rPr/>
        <w:t>Dear Sir or Madam:</w:t>
      </w:r>
    </w:p>
    <w:p>
      <w:pPr>
        <w:pStyle w:val="Normal"/>
        <w:tabs>
          <w:tab w:val="clear" w:pos="720"/>
          <w:tab w:val="left" w:pos="540" w:leader="none"/>
        </w:tabs>
        <w:ind w:end="14"/>
        <w:jc w:val="both"/>
        <w:rPr/>
      </w:pPr>
      <w:r>
        <w:rPr/>
      </w:r>
    </w:p>
    <w:p>
      <w:pPr>
        <w:pStyle w:val="Normal"/>
        <w:tabs>
          <w:tab w:val="clear" w:pos="720"/>
          <w:tab w:val="left" w:pos="540" w:leader="none"/>
        </w:tabs>
        <w:ind w:end="14"/>
        <w:jc w:val="both"/>
        <w:rPr/>
      </w:pPr>
      <w:r>
        <w:rPr/>
        <w:t>The purpose of this letter agreement (this "Confirmation") is to confirm the terms and conditions of the Share Option Transaction entered into between us on the Trade Date specified below (the "Transaction").  This letter agreement constitutes a "Confirmation" as referred to in the ISDA Master Agreement</w:t>
      </w:r>
      <w:r>
        <w:rPr>
          <w:b/>
        </w:rPr>
        <w:t xml:space="preserve"> </w:t>
      </w:r>
      <w:r>
        <w:rPr/>
        <w:t>specified below.</w:t>
      </w:r>
    </w:p>
    <w:p>
      <w:pPr>
        <w:pStyle w:val="Normal"/>
        <w:tabs>
          <w:tab w:val="clear" w:pos="720"/>
          <w:tab w:val="left" w:pos="576" w:leader="none"/>
          <w:tab w:val="left" w:pos="1152" w:leader="none"/>
        </w:tabs>
        <w:ind w:end="14"/>
        <w:jc w:val="both"/>
        <w:rPr/>
      </w:pPr>
      <w:r>
        <w:rPr/>
      </w:r>
    </w:p>
    <w:p>
      <w:pPr>
        <w:pStyle w:val="HeadingConfirm"/>
        <w:tabs>
          <w:tab w:val="clear" w:pos="900"/>
          <w:tab w:val="left" w:pos="576" w:leader="none"/>
          <w:tab w:val="left" w:pos="4293" w:leader="none"/>
        </w:tabs>
        <w:spacing w:before="0" w:after="0"/>
        <w:rPr>
          <w:lang w:eastAsia="en-US"/>
        </w:rPr>
      </w:pPr>
      <w:r>
        <w:rPr>
          <w:lang w:eastAsia="en-US"/>
        </w:rPr>
        <w:t>The definitions and provisions contained in the 1996 ISDA Equity Derivatives Definitions (the “Equity Definitions”) and the 2000 ISDA Definitions (the “Swap Definitions”, and together with the Equity Definitions, the “Definitions”), in each case as published by the International Swaps and Derivatives Association, Inc. (“ISDA”) are incorporated into this Confirmation.  References herein to “Transaction” shall be deemed references to “Swap Transaction” for purposes of the Swap Definitions.  In the event of any inconsistency between the Equity Definitions and the Swap Definitions, the Equity Definitions will govern.  In the event of any inconsistency between either set of Definitions and this Confirmation, this Confirmation will govern.</w:t>
      </w:r>
    </w:p>
    <w:p>
      <w:pPr>
        <w:pStyle w:val="Normal"/>
        <w:tabs>
          <w:tab w:val="clear" w:pos="720"/>
          <w:tab w:val="left" w:pos="576" w:leader="none"/>
        </w:tabs>
        <w:jc w:val="both"/>
        <w:rPr>
          <w:lang w:eastAsia="en-US"/>
        </w:rPr>
      </w:pPr>
      <w:r>
        <w:rPr>
          <w:lang w:eastAsia="en-US"/>
        </w:rPr>
      </w:r>
    </w:p>
    <w:p>
      <w:pPr>
        <w:pStyle w:val="Normal"/>
        <w:tabs>
          <w:tab w:val="clear" w:pos="720"/>
          <w:tab w:val="left" w:pos="576" w:leader="none"/>
          <w:tab w:val="left" w:pos="900" w:leader="none"/>
        </w:tabs>
        <w:spacing w:before="0" w:after="120"/>
        <w:jc w:val="both"/>
        <w:rPr/>
      </w:pPr>
      <w:r>
        <w:rPr/>
        <w:t>This Confirmation supplements, forms part of, and is subject to, the ISDA Master Agreement dated as of November 14, 2000, as amended and supplemented from time to time (the “Agreement”), between Lehman Brothers Finance S.A. (“Party A”) and Enron Corp. (“Party B”).  All provisions contained in the Agreement govern this Confirmation except as expressly modified below.</w:t>
      </w:r>
    </w:p>
    <w:p>
      <w:pPr>
        <w:pStyle w:val="Normal"/>
        <w:tabs>
          <w:tab w:val="clear" w:pos="720"/>
          <w:tab w:val="left" w:pos="576" w:leader="none"/>
          <w:tab w:val="left" w:pos="900" w:leader="none"/>
        </w:tabs>
        <w:ind w:start="180" w:end="605"/>
        <w:jc w:val="both"/>
        <w:rPr>
          <w:b/>
        </w:rPr>
      </w:pPr>
      <w:r>
        <w:rPr>
          <w:b/>
        </w:rPr>
      </w:r>
    </w:p>
    <w:p>
      <w:pPr>
        <w:pStyle w:val="Normal"/>
        <w:tabs>
          <w:tab w:val="clear" w:pos="720"/>
          <w:tab w:val="left" w:pos="576" w:leader="none"/>
          <w:tab w:val="left" w:pos="900" w:leader="none"/>
        </w:tabs>
        <w:ind w:hanging="180" w:start="180" w:end="605"/>
        <w:jc w:val="both"/>
        <w:rPr/>
      </w:pPr>
      <w:r>
        <w:rPr/>
        <w:t>The terms of the Transaction to which this Confirmation relates are as follows:</w:t>
      </w:r>
    </w:p>
    <w:tbl>
      <w:tblPr>
        <w:tblW w:w="9540" w:type="dxa"/>
        <w:jc w:val="start"/>
        <w:tblInd w:w="198" w:type="dxa"/>
        <w:tblLayout w:type="fixed"/>
        <w:tblCellMar>
          <w:top w:w="0" w:type="dxa"/>
          <w:start w:w="108" w:type="dxa"/>
          <w:bottom w:w="0" w:type="dxa"/>
          <w:end w:w="108" w:type="dxa"/>
        </w:tblCellMar>
      </w:tblPr>
      <w:tblGrid>
        <w:gridCol w:w="3150"/>
        <w:gridCol w:w="6390"/>
      </w:tblGrid>
      <w:tr>
        <w:trPr/>
        <w:tc>
          <w:tcPr>
            <w:tcW w:w="3150" w:type="dxa"/>
            <w:tcBorders/>
          </w:tcPr>
          <w:p>
            <w:pPr>
              <w:pStyle w:val="Normal"/>
              <w:spacing w:before="100" w:after="0"/>
              <w:rPr/>
            </w:pPr>
            <w:r>
              <w:rPr>
                <w:b/>
              </w:rPr>
              <w:t>General Terms</w:t>
            </w:r>
            <w:r>
              <w:rPr/>
              <w:t>:</w:t>
            </w:r>
          </w:p>
        </w:tc>
        <w:tc>
          <w:tcPr>
            <w:tcW w:w="6390" w:type="dxa"/>
            <w:tcBorders/>
          </w:tcPr>
          <w:p>
            <w:pPr>
              <w:pStyle w:val="Normal"/>
              <w:snapToGrid w:val="false"/>
              <w:spacing w:before="100" w:after="0"/>
              <w:jc w:val="both"/>
              <w:rPr/>
            </w:pPr>
            <w:r>
              <w:rPr/>
            </w:r>
          </w:p>
        </w:tc>
      </w:tr>
      <w:tr>
        <w:trPr/>
        <w:tc>
          <w:tcPr>
            <w:tcW w:w="3150" w:type="dxa"/>
            <w:tcBorders/>
          </w:tcPr>
          <w:p>
            <w:pPr>
              <w:pStyle w:val="Normal"/>
              <w:spacing w:before="100" w:after="0"/>
              <w:rPr/>
            </w:pPr>
            <w:r>
              <w:rPr/>
              <w:t>Agent:</w:t>
            </w:r>
          </w:p>
        </w:tc>
        <w:tc>
          <w:tcPr>
            <w:tcW w:w="6390" w:type="dxa"/>
            <w:tcBorders/>
          </w:tcPr>
          <w:p>
            <w:pPr>
              <w:pStyle w:val="HeadingConfirm"/>
              <w:tabs>
                <w:tab w:val="clear" w:pos="576"/>
                <w:tab w:val="clear" w:pos="900"/>
              </w:tabs>
              <w:spacing w:before="100" w:after="0"/>
              <w:rPr/>
            </w:pPr>
            <w:r>
              <w:rPr/>
              <w:t>Lehman Brothers Inc. (“LBI”) is confirming this Transaction for both Party A and Party B.  LBI has no obligations, by guarantee, endorsement or otherwise, with respect to the performance of this Transaction by either party.</w:t>
            </w:r>
          </w:p>
        </w:tc>
      </w:tr>
      <w:tr>
        <w:trPr/>
        <w:tc>
          <w:tcPr>
            <w:tcW w:w="3150" w:type="dxa"/>
            <w:tcBorders/>
          </w:tcPr>
          <w:p>
            <w:pPr>
              <w:pStyle w:val="Normal"/>
              <w:spacing w:before="100" w:after="0"/>
              <w:rPr/>
            </w:pPr>
            <w:r>
              <w:rPr/>
              <w:t>Trade Date:</w:t>
            </w:r>
          </w:p>
        </w:tc>
        <w:tc>
          <w:tcPr>
            <w:tcW w:w="6390" w:type="dxa"/>
            <w:tcBorders/>
          </w:tcPr>
          <w:p>
            <w:pPr>
              <w:pStyle w:val="Normal"/>
              <w:spacing w:before="100" w:after="0"/>
              <w:jc w:val="both"/>
              <w:rPr/>
            </w:pPr>
            <w:r>
              <w:rPr/>
              <w:t>[TBD]</w:t>
            </w:r>
          </w:p>
        </w:tc>
      </w:tr>
      <w:tr>
        <w:trPr/>
        <w:tc>
          <w:tcPr>
            <w:tcW w:w="3150" w:type="dxa"/>
            <w:tcBorders/>
          </w:tcPr>
          <w:p>
            <w:pPr>
              <w:pStyle w:val="Normal"/>
              <w:spacing w:before="100" w:after="0"/>
              <w:rPr/>
            </w:pPr>
            <w:r>
              <w:rPr/>
              <w:t>Option Style:</w:t>
            </w:r>
          </w:p>
        </w:tc>
        <w:tc>
          <w:tcPr>
            <w:tcW w:w="6390" w:type="dxa"/>
            <w:tcBorders/>
          </w:tcPr>
          <w:p>
            <w:pPr>
              <w:pStyle w:val="Normal"/>
              <w:spacing w:before="100" w:after="0"/>
              <w:jc w:val="both"/>
              <w:rPr/>
            </w:pPr>
            <w:r>
              <w:rPr/>
              <w:t>European</w:t>
            </w:r>
          </w:p>
        </w:tc>
      </w:tr>
      <w:tr>
        <w:trPr/>
        <w:tc>
          <w:tcPr>
            <w:tcW w:w="3150" w:type="dxa"/>
            <w:tcBorders/>
          </w:tcPr>
          <w:p>
            <w:pPr>
              <w:pStyle w:val="Normal"/>
              <w:spacing w:before="100" w:after="0"/>
              <w:rPr/>
            </w:pPr>
            <w:r>
              <w:rPr/>
              <w:t>Option Type:</w:t>
            </w:r>
          </w:p>
        </w:tc>
        <w:tc>
          <w:tcPr>
            <w:tcW w:w="6390" w:type="dxa"/>
            <w:tcBorders/>
          </w:tcPr>
          <w:p>
            <w:pPr>
              <w:pStyle w:val="Normal"/>
              <w:spacing w:before="100" w:after="0"/>
              <w:jc w:val="both"/>
              <w:rPr/>
            </w:pPr>
            <w:r>
              <w:rPr/>
              <w:t xml:space="preserve">Put </w:t>
            </w:r>
          </w:p>
        </w:tc>
      </w:tr>
      <w:tr>
        <w:trPr/>
        <w:tc>
          <w:tcPr>
            <w:tcW w:w="3150" w:type="dxa"/>
            <w:tcBorders/>
          </w:tcPr>
          <w:p>
            <w:pPr>
              <w:pStyle w:val="Normal"/>
              <w:spacing w:before="100" w:after="0"/>
              <w:rPr/>
            </w:pPr>
            <w:r>
              <w:rPr/>
              <w:t>Seller:</w:t>
            </w:r>
          </w:p>
        </w:tc>
        <w:tc>
          <w:tcPr>
            <w:tcW w:w="6390" w:type="dxa"/>
            <w:tcBorders/>
          </w:tcPr>
          <w:p>
            <w:pPr>
              <w:pStyle w:val="Normal"/>
              <w:spacing w:before="100" w:after="0"/>
              <w:jc w:val="both"/>
              <w:rPr/>
            </w:pPr>
            <w:r>
              <w:rPr/>
              <w:t>Party B</w:t>
            </w:r>
          </w:p>
        </w:tc>
      </w:tr>
      <w:tr>
        <w:trPr/>
        <w:tc>
          <w:tcPr>
            <w:tcW w:w="3150" w:type="dxa"/>
            <w:tcBorders/>
          </w:tcPr>
          <w:p>
            <w:pPr>
              <w:pStyle w:val="Normal"/>
              <w:spacing w:before="100" w:after="0"/>
              <w:rPr/>
            </w:pPr>
            <w:r>
              <w:rPr/>
              <w:t>Buyer:</w:t>
            </w:r>
          </w:p>
        </w:tc>
        <w:tc>
          <w:tcPr>
            <w:tcW w:w="6390" w:type="dxa"/>
            <w:tcBorders/>
          </w:tcPr>
          <w:p>
            <w:pPr>
              <w:pStyle w:val="Normal"/>
              <w:spacing w:before="100" w:after="0"/>
              <w:jc w:val="both"/>
              <w:rPr/>
            </w:pPr>
            <w:r>
              <w:rPr/>
              <w:t>Party A</w:t>
            </w:r>
          </w:p>
        </w:tc>
      </w:tr>
      <w:tr>
        <w:trPr/>
        <w:tc>
          <w:tcPr>
            <w:tcW w:w="3150" w:type="dxa"/>
            <w:tcBorders/>
          </w:tcPr>
          <w:p>
            <w:pPr>
              <w:pStyle w:val="Normal"/>
              <w:spacing w:before="100" w:after="0"/>
              <w:rPr/>
            </w:pPr>
            <w:r>
              <w:rPr/>
              <w:t>Shares:</w:t>
            </w:r>
          </w:p>
        </w:tc>
        <w:tc>
          <w:tcPr>
            <w:tcW w:w="6390" w:type="dxa"/>
            <w:tcBorders/>
          </w:tcPr>
          <w:p>
            <w:pPr>
              <w:pStyle w:val="Normal"/>
              <w:tabs>
                <w:tab w:val="clear" w:pos="720"/>
                <w:tab w:val="left" w:pos="2862" w:leader="none"/>
              </w:tabs>
              <w:spacing w:before="100" w:after="0"/>
              <w:jc w:val="both"/>
              <w:rPr/>
            </w:pPr>
            <w:r>
              <w:rPr/>
              <w:t>The common shares of Enron Corp. (the “Issuer”) Ticker:  ENE</w:t>
            </w:r>
          </w:p>
        </w:tc>
      </w:tr>
      <w:tr>
        <w:trPr/>
        <w:tc>
          <w:tcPr>
            <w:tcW w:w="3150" w:type="dxa"/>
            <w:tcBorders/>
          </w:tcPr>
          <w:p>
            <w:pPr>
              <w:pStyle w:val="Normal"/>
              <w:spacing w:before="100" w:after="0"/>
              <w:rPr/>
            </w:pPr>
            <w:r>
              <w:rPr/>
              <w:t>Number of Options:</w:t>
            </w:r>
          </w:p>
        </w:tc>
        <w:tc>
          <w:tcPr>
            <w:tcW w:w="6390" w:type="dxa"/>
            <w:tcBorders/>
          </w:tcPr>
          <w:p>
            <w:pPr>
              <w:pStyle w:val="Normal"/>
              <w:tabs>
                <w:tab w:val="clear" w:pos="720"/>
                <w:tab w:val="left" w:pos="2862" w:leader="none"/>
              </w:tabs>
              <w:spacing w:before="100" w:after="0"/>
              <w:jc w:val="both"/>
              <w:rPr/>
            </w:pPr>
            <w:r>
              <w:rPr/>
              <w:t>[TBD]</w:t>
            </w:r>
          </w:p>
        </w:tc>
      </w:tr>
      <w:tr>
        <w:trPr/>
        <w:tc>
          <w:tcPr>
            <w:tcW w:w="3150" w:type="dxa"/>
            <w:tcBorders/>
          </w:tcPr>
          <w:p>
            <w:pPr>
              <w:pStyle w:val="Normal"/>
              <w:spacing w:before="100" w:after="0"/>
              <w:rPr>
                <w:position w:val="7"/>
              </w:rPr>
            </w:pPr>
            <w:r>
              <w:rPr>
                <w:position w:val="7"/>
              </w:rPr>
              <w:t>Option Entitlement:</w:t>
            </w:r>
          </w:p>
        </w:tc>
        <w:tc>
          <w:tcPr>
            <w:tcW w:w="6390" w:type="dxa"/>
            <w:tcBorders/>
          </w:tcPr>
          <w:p>
            <w:pPr>
              <w:pStyle w:val="Normal"/>
              <w:spacing w:before="100" w:after="0"/>
              <w:jc w:val="both"/>
              <w:rPr>
                <w:position w:val="7"/>
              </w:rPr>
            </w:pPr>
            <w:r>
              <w:rPr>
                <w:position w:val="7"/>
              </w:rPr>
              <w:t>[  ] Share(s) per Option</w:t>
            </w:r>
          </w:p>
        </w:tc>
      </w:tr>
      <w:tr>
        <w:trPr/>
        <w:tc>
          <w:tcPr>
            <w:tcW w:w="3150" w:type="dxa"/>
            <w:tcBorders/>
          </w:tcPr>
          <w:p>
            <w:pPr>
              <w:pStyle w:val="Normal"/>
              <w:spacing w:before="100" w:after="0"/>
              <w:ind w:hanging="540" w:start="540" w:end="0"/>
              <w:rPr/>
            </w:pPr>
            <w:r>
              <w:rPr/>
              <w:t>Multiple Exercise:</w:t>
            </w:r>
          </w:p>
        </w:tc>
        <w:tc>
          <w:tcPr>
            <w:tcW w:w="6390" w:type="dxa"/>
            <w:tcBorders/>
          </w:tcPr>
          <w:p>
            <w:pPr>
              <w:pStyle w:val="Normal"/>
              <w:spacing w:before="100" w:after="0"/>
              <w:jc w:val="both"/>
              <w:rPr/>
            </w:pPr>
            <w:r>
              <w:rPr/>
              <w:t>Inapplicable</w:t>
            </w:r>
          </w:p>
        </w:tc>
      </w:tr>
      <w:tr>
        <w:trPr/>
        <w:tc>
          <w:tcPr>
            <w:tcW w:w="3150" w:type="dxa"/>
            <w:tcBorders/>
          </w:tcPr>
          <w:p>
            <w:pPr>
              <w:pStyle w:val="Normal"/>
              <w:spacing w:before="100" w:after="0"/>
              <w:ind w:hanging="540" w:start="540" w:end="0"/>
              <w:rPr/>
            </w:pPr>
            <w:r>
              <w:rPr/>
              <w:t>Strike Price:</w:t>
            </w:r>
          </w:p>
        </w:tc>
        <w:tc>
          <w:tcPr>
            <w:tcW w:w="6390" w:type="dxa"/>
            <w:tcBorders/>
          </w:tcPr>
          <w:p>
            <w:pPr>
              <w:pStyle w:val="Normal"/>
              <w:tabs>
                <w:tab w:val="clear" w:pos="720"/>
                <w:tab w:val="left" w:pos="2862" w:leader="none"/>
              </w:tabs>
              <w:spacing w:before="100" w:after="0"/>
              <w:jc w:val="both"/>
              <w:rPr/>
            </w:pPr>
            <w:r>
              <w:rPr/>
              <w:t>[USD]</w:t>
            </w:r>
          </w:p>
        </w:tc>
      </w:tr>
      <w:tr>
        <w:trPr/>
        <w:tc>
          <w:tcPr>
            <w:tcW w:w="3150" w:type="dxa"/>
            <w:tcBorders/>
          </w:tcPr>
          <w:p>
            <w:pPr>
              <w:pStyle w:val="Normal"/>
              <w:spacing w:before="100" w:after="0"/>
              <w:ind w:hanging="540" w:start="540" w:end="0"/>
              <w:rPr/>
            </w:pPr>
            <w:r>
              <w:rPr/>
              <w:t>Premium:</w:t>
            </w:r>
          </w:p>
        </w:tc>
        <w:tc>
          <w:tcPr>
            <w:tcW w:w="6390" w:type="dxa"/>
            <w:tcBorders/>
          </w:tcPr>
          <w:p>
            <w:pPr>
              <w:pStyle w:val="Normal"/>
              <w:tabs>
                <w:tab w:val="clear" w:pos="720"/>
                <w:tab w:val="left" w:pos="2862" w:leader="none"/>
              </w:tabs>
              <w:spacing w:before="100" w:after="0"/>
              <w:jc w:val="both"/>
              <w:rPr/>
            </w:pPr>
            <w:r>
              <w:rPr/>
              <w:t>[USD] (Premium per Option:  [USD])</w:t>
            </w:r>
          </w:p>
        </w:tc>
      </w:tr>
      <w:tr>
        <w:trPr/>
        <w:tc>
          <w:tcPr>
            <w:tcW w:w="3150" w:type="dxa"/>
            <w:tcBorders/>
          </w:tcPr>
          <w:p>
            <w:pPr>
              <w:pStyle w:val="Normal"/>
              <w:spacing w:before="100" w:after="0"/>
              <w:ind w:hanging="540" w:start="540" w:end="0"/>
              <w:rPr/>
            </w:pPr>
            <w:r>
              <w:rPr/>
              <w:t>Premium Payment Date:</w:t>
            </w:r>
          </w:p>
        </w:tc>
        <w:tc>
          <w:tcPr>
            <w:tcW w:w="6390" w:type="dxa"/>
            <w:tcBorders/>
          </w:tcPr>
          <w:p>
            <w:pPr>
              <w:pStyle w:val="Normal"/>
              <w:spacing w:before="100" w:after="0"/>
              <w:jc w:val="both"/>
              <w:rPr/>
            </w:pPr>
            <w:r>
              <w:rPr/>
              <w:t>[Three (3) Currency Business Days after the Trade Date]</w:t>
            </w:r>
          </w:p>
        </w:tc>
      </w:tr>
      <w:tr>
        <w:trPr/>
        <w:tc>
          <w:tcPr>
            <w:tcW w:w="3150" w:type="dxa"/>
            <w:tcBorders/>
          </w:tcPr>
          <w:p>
            <w:pPr>
              <w:pStyle w:val="Normal"/>
              <w:spacing w:before="100" w:after="0"/>
              <w:ind w:hanging="540" w:start="540" w:end="0"/>
              <w:rPr/>
            </w:pPr>
            <w:r>
              <w:rPr/>
              <w:t>Exchange:</w:t>
            </w:r>
          </w:p>
        </w:tc>
        <w:tc>
          <w:tcPr>
            <w:tcW w:w="6390" w:type="dxa"/>
            <w:tcBorders/>
          </w:tcPr>
          <w:p>
            <w:pPr>
              <w:pStyle w:val="Normal"/>
              <w:spacing w:before="100" w:after="0"/>
              <w:jc w:val="both"/>
              <w:rPr/>
            </w:pPr>
            <w:r>
              <w:rPr/>
              <w:t>[    ]</w:t>
            </w:r>
          </w:p>
        </w:tc>
      </w:tr>
      <w:tr>
        <w:trPr/>
        <w:tc>
          <w:tcPr>
            <w:tcW w:w="3150" w:type="dxa"/>
            <w:tcBorders/>
          </w:tcPr>
          <w:p>
            <w:pPr>
              <w:pStyle w:val="Normal"/>
              <w:spacing w:before="100" w:after="0"/>
              <w:ind w:hanging="540" w:start="540" w:end="0"/>
              <w:rPr/>
            </w:pPr>
            <w:r>
              <w:rPr/>
              <w:t>Related Exchange(s):</w:t>
            </w:r>
          </w:p>
        </w:tc>
        <w:tc>
          <w:tcPr>
            <w:tcW w:w="6390" w:type="dxa"/>
            <w:tcBorders/>
          </w:tcPr>
          <w:p>
            <w:pPr>
              <w:pStyle w:val="Normal"/>
              <w:spacing w:before="100" w:after="0"/>
              <w:jc w:val="both"/>
              <w:rPr/>
            </w:pPr>
            <w:r>
              <w:rPr/>
              <w:t>Any exchange on which options or futures on the Shares are traded.</w:t>
            </w:r>
          </w:p>
        </w:tc>
      </w:tr>
      <w:tr>
        <w:trPr/>
        <w:tc>
          <w:tcPr>
            <w:tcW w:w="3150" w:type="dxa"/>
            <w:tcBorders/>
          </w:tcPr>
          <w:p>
            <w:pPr>
              <w:pStyle w:val="Normal"/>
              <w:spacing w:before="100" w:after="0"/>
              <w:ind w:hanging="547" w:start="547" w:end="0"/>
              <w:rPr/>
            </w:pPr>
            <w:r>
              <w:rPr/>
              <w:t>Clearance System:</w:t>
            </w:r>
          </w:p>
        </w:tc>
        <w:tc>
          <w:tcPr>
            <w:tcW w:w="6390" w:type="dxa"/>
            <w:tcBorders/>
          </w:tcPr>
          <w:p>
            <w:pPr>
              <w:pStyle w:val="Normal"/>
              <w:spacing w:before="100" w:after="0"/>
              <w:jc w:val="both"/>
              <w:rPr/>
            </w:pPr>
            <w:r>
              <w:rPr/>
              <w:t>The relevant Clearance System for the Shares</w:t>
            </w:r>
          </w:p>
        </w:tc>
      </w:tr>
      <w:tr>
        <w:trPr/>
        <w:tc>
          <w:tcPr>
            <w:tcW w:w="3150" w:type="dxa"/>
            <w:tcBorders/>
          </w:tcPr>
          <w:p>
            <w:pPr>
              <w:pStyle w:val="Normal"/>
              <w:spacing w:before="100" w:after="0"/>
              <w:rPr/>
            </w:pPr>
            <w:r>
              <w:rPr>
                <w:b/>
              </w:rPr>
              <w:t>Procedure for Exercise</w:t>
            </w:r>
            <w:r>
              <w:rPr/>
              <w:t>:</w:t>
            </w:r>
          </w:p>
        </w:tc>
        <w:tc>
          <w:tcPr>
            <w:tcW w:w="6390" w:type="dxa"/>
            <w:tcBorders/>
          </w:tcPr>
          <w:p>
            <w:pPr>
              <w:pStyle w:val="Normal"/>
              <w:snapToGrid w:val="false"/>
              <w:spacing w:before="100" w:after="0"/>
              <w:jc w:val="both"/>
              <w:rPr/>
            </w:pPr>
            <w:r>
              <w:rPr/>
            </w:r>
          </w:p>
        </w:tc>
      </w:tr>
      <w:tr>
        <w:trPr/>
        <w:tc>
          <w:tcPr>
            <w:tcW w:w="3150" w:type="dxa"/>
            <w:tcBorders/>
          </w:tcPr>
          <w:p>
            <w:pPr>
              <w:pStyle w:val="Normal"/>
              <w:spacing w:before="100" w:after="0"/>
              <w:ind w:hanging="180" w:start="540" w:end="0"/>
              <w:rPr/>
            </w:pPr>
            <w:r>
              <w:rPr/>
              <w:t>Expiration Time:</w:t>
            </w:r>
          </w:p>
        </w:tc>
        <w:tc>
          <w:tcPr>
            <w:tcW w:w="6390" w:type="dxa"/>
            <w:tcBorders/>
          </w:tcPr>
          <w:p>
            <w:pPr>
              <w:pStyle w:val="Normal"/>
              <w:spacing w:before="100" w:after="0"/>
              <w:jc w:val="both"/>
              <w:rPr/>
            </w:pPr>
            <w:r>
              <w:rPr/>
              <w:t>[    ]</w:t>
            </w:r>
          </w:p>
        </w:tc>
      </w:tr>
      <w:tr>
        <w:trPr/>
        <w:tc>
          <w:tcPr>
            <w:tcW w:w="3150" w:type="dxa"/>
            <w:tcBorders/>
          </w:tcPr>
          <w:p>
            <w:pPr>
              <w:pStyle w:val="Normal"/>
              <w:spacing w:before="100" w:after="0"/>
              <w:ind w:hanging="180" w:start="540" w:end="0"/>
              <w:rPr/>
            </w:pPr>
            <w:r>
              <w:rPr/>
              <w:t>Expiration Date:</w:t>
            </w:r>
          </w:p>
        </w:tc>
        <w:tc>
          <w:tcPr>
            <w:tcW w:w="6390" w:type="dxa"/>
            <w:tcBorders/>
          </w:tcPr>
          <w:p>
            <w:pPr>
              <w:pStyle w:val="Normal"/>
              <w:spacing w:before="100" w:after="0"/>
              <w:jc w:val="both"/>
              <w:rPr/>
            </w:pPr>
            <w:r>
              <w:rPr/>
              <w:t>[    ]</w:t>
            </w:r>
          </w:p>
        </w:tc>
      </w:tr>
      <w:tr>
        <w:trPr/>
        <w:tc>
          <w:tcPr>
            <w:tcW w:w="3150" w:type="dxa"/>
            <w:tcBorders/>
          </w:tcPr>
          <w:p>
            <w:pPr>
              <w:pStyle w:val="Normal"/>
              <w:spacing w:before="100" w:after="0"/>
              <w:ind w:hanging="180" w:start="540" w:end="0"/>
              <w:rPr/>
            </w:pPr>
            <w:r>
              <w:rPr/>
              <w:t>Automatic Exercise:</w:t>
            </w:r>
          </w:p>
        </w:tc>
        <w:tc>
          <w:tcPr>
            <w:tcW w:w="6390" w:type="dxa"/>
            <w:tcBorders/>
          </w:tcPr>
          <w:p>
            <w:pPr>
              <w:pStyle w:val="Normal"/>
              <w:spacing w:before="100" w:after="0"/>
              <w:jc w:val="both"/>
              <w:rPr/>
            </w:pPr>
            <w:r>
              <w:rPr/>
              <w:t>Applicable/Inapplicable</w:t>
            </w:r>
          </w:p>
        </w:tc>
      </w:tr>
      <w:tr>
        <w:trPr/>
        <w:tc>
          <w:tcPr>
            <w:tcW w:w="3150" w:type="dxa"/>
            <w:tcBorders/>
          </w:tcPr>
          <w:p>
            <w:pPr>
              <w:pStyle w:val="Normal"/>
              <w:spacing w:before="100" w:after="0"/>
              <w:rPr>
                <w:b/>
              </w:rPr>
            </w:pPr>
            <w:r>
              <w:rPr>
                <w:b/>
              </w:rPr>
              <w:t>Valuation:</w:t>
            </w:r>
          </w:p>
        </w:tc>
        <w:tc>
          <w:tcPr>
            <w:tcW w:w="6390" w:type="dxa"/>
            <w:tcBorders/>
          </w:tcPr>
          <w:p>
            <w:pPr>
              <w:pStyle w:val="Normal"/>
              <w:snapToGrid w:val="false"/>
              <w:spacing w:before="100" w:after="0"/>
              <w:jc w:val="both"/>
              <w:rPr>
                <w:b/>
              </w:rPr>
            </w:pPr>
            <w:r>
              <w:rPr>
                <w:b/>
              </w:rPr>
            </w:r>
          </w:p>
        </w:tc>
      </w:tr>
      <w:tr>
        <w:trPr/>
        <w:tc>
          <w:tcPr>
            <w:tcW w:w="3150" w:type="dxa"/>
            <w:tcBorders/>
          </w:tcPr>
          <w:p>
            <w:pPr>
              <w:pStyle w:val="Normal"/>
              <w:spacing w:before="100" w:after="0"/>
              <w:ind w:hanging="180" w:start="540" w:end="0"/>
              <w:rPr/>
            </w:pPr>
            <w:r>
              <w:rPr/>
              <w:t>Valuation Time:</w:t>
            </w:r>
          </w:p>
        </w:tc>
        <w:tc>
          <w:tcPr>
            <w:tcW w:w="6390" w:type="dxa"/>
            <w:tcBorders/>
          </w:tcPr>
          <w:p>
            <w:pPr>
              <w:pStyle w:val="Normal"/>
              <w:spacing w:before="100" w:after="0"/>
              <w:jc w:val="both"/>
              <w:rPr/>
            </w:pPr>
            <w:r>
              <w:rPr/>
              <w:t>[At 4:00 p.m. (local time in New York)]</w:t>
            </w:r>
          </w:p>
        </w:tc>
      </w:tr>
      <w:tr>
        <w:trPr/>
        <w:tc>
          <w:tcPr>
            <w:tcW w:w="3150" w:type="dxa"/>
            <w:tcBorders/>
          </w:tcPr>
          <w:p>
            <w:pPr>
              <w:pStyle w:val="Normal"/>
              <w:spacing w:before="100" w:after="0"/>
              <w:ind w:hanging="180" w:start="540" w:end="0"/>
              <w:rPr/>
            </w:pPr>
            <w:r>
              <w:rPr/>
              <w:t>Valuation Date:</w:t>
            </w:r>
          </w:p>
        </w:tc>
        <w:tc>
          <w:tcPr>
            <w:tcW w:w="6390" w:type="dxa"/>
            <w:tcBorders/>
          </w:tcPr>
          <w:p>
            <w:pPr>
              <w:pStyle w:val="Normal"/>
              <w:spacing w:before="100" w:after="0"/>
              <w:jc w:val="both"/>
              <w:rPr/>
            </w:pPr>
            <w:r>
              <w:rPr/>
              <w:t>The Exercise Date</w:t>
            </w:r>
          </w:p>
        </w:tc>
      </w:tr>
      <w:tr>
        <w:trPr/>
        <w:tc>
          <w:tcPr>
            <w:tcW w:w="3150" w:type="dxa"/>
            <w:tcBorders/>
          </w:tcPr>
          <w:p>
            <w:pPr>
              <w:pStyle w:val="Normal"/>
              <w:spacing w:before="100" w:after="0"/>
              <w:rPr>
                <w:b/>
              </w:rPr>
            </w:pPr>
            <w:r>
              <w:rPr>
                <w:b/>
              </w:rPr>
              <w:t>Settlement Elections and Events:</w:t>
            </w:r>
          </w:p>
        </w:tc>
        <w:tc>
          <w:tcPr>
            <w:tcW w:w="6390" w:type="dxa"/>
            <w:tcBorders/>
          </w:tcPr>
          <w:p>
            <w:pPr>
              <w:pStyle w:val="HeadingConfirm"/>
              <w:tabs>
                <w:tab w:val="clear" w:pos="576"/>
                <w:tab w:val="clear" w:pos="900"/>
              </w:tabs>
              <w:spacing w:before="100" w:after="0"/>
              <w:rPr/>
            </w:pPr>
            <w:r>
              <w:rPr/>
              <w:t>Physical Settlement shall apply, unless (i) Party B notifies Party A by written notice of its election of Cash Settlement by 9:00 a.m. (local time in New York) at least ten (10) Exchange Business Days prior to the Expiration Date; or (ii) a Reg M /Tender Offer Event (as described in the Other Provisions section of the Confirmation) has occurred, then settlement shall take place as described therein.</w:t>
            </w:r>
          </w:p>
          <w:p>
            <w:pPr>
              <w:pStyle w:val="Normal"/>
              <w:spacing w:before="100" w:after="0"/>
              <w:jc w:val="both"/>
              <w:rPr/>
            </w:pPr>
            <w:r>
              <w:rPr>
                <w:lang w:eastAsia="en-US"/>
              </w:rPr>
              <w:t xml:space="preserve">(i) </w:t>
            </w:r>
            <w:r>
              <w:rPr/>
              <w:t xml:space="preserve">If Party B fails to notify Party A of its election, then Physical Settlement, the terms of which are set forth in the Equity Definitions, shall occur and “Reference Price” shall be </w:t>
            </w:r>
            <w:r>
              <w:rPr>
                <w:lang w:eastAsia="en-US"/>
              </w:rPr>
              <w:t xml:space="preserve">[the closing price per Share as quoted by the Exchange at the Valuation Time on the Valuation Date] </w:t>
            </w:r>
            <w:r>
              <w:rPr>
                <w:i/>
                <w:lang w:eastAsia="en-US"/>
              </w:rPr>
              <w:t>or</w:t>
            </w:r>
            <w:r>
              <w:rPr>
                <w:lang w:eastAsia="en-US"/>
              </w:rPr>
              <w:t xml:space="preserve"> [</w:t>
            </w:r>
            <w:r>
              <w:rPr/>
              <w:t xml:space="preserve"> the midpoint of the highest bid and lowest offer prices per Share as quoted by the Exchange at the Valuation Time on the Valuation Date] as defined below under Cash Settlement.</w:t>
            </w:r>
            <w:r>
              <w:rPr>
                <w:lang w:eastAsia="en-US"/>
              </w:rPr>
              <w:t xml:space="preserve">(ii) </w:t>
            </w:r>
            <w:r>
              <w:rPr/>
              <w:t>If Party B elects Cash Settlement, in addition to  the applicable terms set forth in the Equity Definitions, the following terms shall apply:</w:t>
            </w:r>
          </w:p>
          <w:p>
            <w:pPr>
              <w:pStyle w:val="HeadingConfirm"/>
              <w:tabs>
                <w:tab w:val="clear" w:pos="576"/>
                <w:tab w:val="clear" w:pos="900"/>
              </w:tabs>
              <w:spacing w:before="100" w:after="0"/>
              <w:rPr/>
            </w:pPr>
            <w:r>
              <w:rPr/>
              <w:t>“</w:t>
            </w:r>
            <w:r>
              <w:rPr/>
              <w:t>Settlement Currency” shall be USD.</w:t>
            </w:r>
          </w:p>
          <w:p>
            <w:pPr>
              <w:pStyle w:val="Normal"/>
              <w:spacing w:before="100" w:after="0"/>
              <w:jc w:val="both"/>
              <w:rPr>
                <w:lang w:eastAsia="en-US"/>
              </w:rPr>
            </w:pPr>
            <w:r>
              <w:rPr/>
              <w:t>“</w:t>
            </w:r>
            <w:r>
              <w:rPr/>
              <w:t xml:space="preserve">Settlement Price” </w:t>
            </w:r>
            <w:r>
              <w:rPr>
                <w:lang w:eastAsia="en-US"/>
              </w:rPr>
              <w:t xml:space="preserve">shall be [the closing price per Share as quoted by the Exchange at the Valuation Time on the Valuation Date] </w:t>
            </w:r>
            <w:r>
              <w:rPr>
                <w:i/>
                <w:lang w:eastAsia="en-US"/>
              </w:rPr>
              <w:t>or</w:t>
            </w:r>
            <w:r>
              <w:rPr>
                <w:lang w:eastAsia="en-US"/>
              </w:rPr>
              <w:t xml:space="preserve"> [</w:t>
            </w:r>
            <w:r>
              <w:rPr/>
              <w:t xml:space="preserve"> the midpoint of the highest bid and lowest offer prices per Share as quoted by the Exchange at the Valuation Time on the Valuation Date]</w:t>
            </w:r>
          </w:p>
          <w:p>
            <w:pPr>
              <w:pStyle w:val="Normal"/>
              <w:spacing w:before="100" w:after="0"/>
              <w:jc w:val="both"/>
              <w:rPr>
                <w:lang w:eastAsia="en-US"/>
              </w:rPr>
            </w:pPr>
            <w:r>
              <w:rPr>
                <w:lang w:eastAsia="en-US"/>
              </w:rPr>
              <w:t>“</w:t>
            </w:r>
            <w:r>
              <w:rPr>
                <w:lang w:eastAsia="en-US"/>
              </w:rPr>
              <w:t>Cash Settlement Payment Date” shall be three (3) Exchange Business Days after the Valuation Date.</w:t>
            </w:r>
          </w:p>
        </w:tc>
      </w:tr>
      <w:tr>
        <w:trPr/>
        <w:tc>
          <w:tcPr>
            <w:tcW w:w="3150" w:type="dxa"/>
            <w:tcBorders/>
          </w:tcPr>
          <w:p>
            <w:pPr>
              <w:pStyle w:val="Normal"/>
              <w:spacing w:before="100" w:after="0"/>
              <w:rPr>
                <w:b/>
              </w:rPr>
            </w:pPr>
            <w:r>
              <w:rPr>
                <w:b/>
              </w:rPr>
              <w:t>Adjustments:</w:t>
            </w:r>
          </w:p>
        </w:tc>
        <w:tc>
          <w:tcPr>
            <w:tcW w:w="6390" w:type="dxa"/>
            <w:tcBorders/>
          </w:tcPr>
          <w:p>
            <w:pPr>
              <w:pStyle w:val="Normal"/>
              <w:snapToGrid w:val="false"/>
              <w:spacing w:before="100" w:after="0"/>
              <w:jc w:val="both"/>
              <w:rPr>
                <w:b/>
              </w:rPr>
            </w:pPr>
            <w:r>
              <w:rPr>
                <w:b/>
              </w:rPr>
            </w:r>
          </w:p>
        </w:tc>
      </w:tr>
      <w:tr>
        <w:trPr/>
        <w:tc>
          <w:tcPr>
            <w:tcW w:w="3150" w:type="dxa"/>
            <w:tcBorders/>
          </w:tcPr>
          <w:p>
            <w:pPr>
              <w:pStyle w:val="Normal"/>
              <w:spacing w:before="100" w:after="0"/>
              <w:ind w:start="360" w:end="0"/>
              <w:rPr>
                <w:b/>
              </w:rPr>
            </w:pPr>
            <w:r>
              <w:rPr/>
              <w:t>Method of Adjustment:</w:t>
            </w:r>
          </w:p>
        </w:tc>
        <w:tc>
          <w:tcPr>
            <w:tcW w:w="6390" w:type="dxa"/>
            <w:tcBorders/>
          </w:tcPr>
          <w:p>
            <w:pPr>
              <w:pStyle w:val="Normal"/>
              <w:spacing w:before="100" w:after="0"/>
              <w:jc w:val="both"/>
              <w:rPr/>
            </w:pPr>
            <w:r>
              <w:rPr/>
              <w:t>Calculation Agent Adjustment / Options Exchange Adjustment</w:t>
            </w:r>
          </w:p>
        </w:tc>
      </w:tr>
      <w:tr>
        <w:trPr/>
        <w:tc>
          <w:tcPr>
            <w:tcW w:w="3150" w:type="dxa"/>
            <w:tcBorders/>
          </w:tcPr>
          <w:p>
            <w:pPr>
              <w:pStyle w:val="Normal"/>
              <w:spacing w:before="100" w:after="0"/>
              <w:ind w:start="360" w:end="0"/>
              <w:rPr/>
            </w:pPr>
            <w:r>
              <w:rPr/>
              <w:t>[Options Exchange:</w:t>
            </w:r>
          </w:p>
        </w:tc>
        <w:tc>
          <w:tcPr>
            <w:tcW w:w="6390" w:type="dxa"/>
            <w:tcBorders/>
          </w:tcPr>
          <w:p>
            <w:pPr>
              <w:pStyle w:val="Normal"/>
              <w:spacing w:before="100" w:after="0"/>
              <w:jc w:val="both"/>
              <w:rPr/>
            </w:pPr>
            <w:r>
              <w:rPr/>
              <w:t>[                   ]]</w:t>
            </w:r>
          </w:p>
        </w:tc>
      </w:tr>
      <w:tr>
        <w:trPr/>
        <w:tc>
          <w:tcPr>
            <w:tcW w:w="3150" w:type="dxa"/>
            <w:tcBorders/>
          </w:tcPr>
          <w:p>
            <w:pPr>
              <w:pStyle w:val="Normal"/>
              <w:spacing w:before="100" w:after="0"/>
              <w:rPr>
                <w:b/>
              </w:rPr>
            </w:pPr>
            <w:r>
              <w:rPr>
                <w:b/>
              </w:rPr>
              <w:t>Extraordinary Events:</w:t>
            </w:r>
          </w:p>
        </w:tc>
        <w:tc>
          <w:tcPr>
            <w:tcW w:w="6390" w:type="dxa"/>
            <w:tcBorders/>
          </w:tcPr>
          <w:p>
            <w:pPr>
              <w:pStyle w:val="Normal"/>
              <w:snapToGrid w:val="false"/>
              <w:spacing w:before="100" w:after="0"/>
              <w:jc w:val="both"/>
              <w:rPr>
                <w:b/>
              </w:rPr>
            </w:pPr>
            <w:r>
              <w:rPr>
                <w:b/>
              </w:rPr>
            </w:r>
          </w:p>
        </w:tc>
      </w:tr>
      <w:tr>
        <w:trPr/>
        <w:tc>
          <w:tcPr>
            <w:tcW w:w="3150" w:type="dxa"/>
            <w:tcBorders/>
          </w:tcPr>
          <w:p>
            <w:pPr>
              <w:pStyle w:val="Normal"/>
              <w:spacing w:before="100" w:after="0"/>
              <w:ind w:start="360" w:end="0"/>
              <w:rPr/>
            </w:pPr>
            <w:r>
              <w:rPr/>
              <w:t>Consequences of Merger Events:</w:t>
            </w:r>
          </w:p>
        </w:tc>
        <w:tc>
          <w:tcPr>
            <w:tcW w:w="6390" w:type="dxa"/>
            <w:tcBorders/>
          </w:tcPr>
          <w:p>
            <w:pPr>
              <w:pStyle w:val="Normal"/>
              <w:snapToGrid w:val="false"/>
              <w:spacing w:before="100" w:after="0"/>
              <w:jc w:val="both"/>
              <w:rPr/>
            </w:pPr>
            <w:r>
              <w:rPr/>
            </w:r>
          </w:p>
        </w:tc>
      </w:tr>
      <w:tr>
        <w:trPr/>
        <w:tc>
          <w:tcPr>
            <w:tcW w:w="3150" w:type="dxa"/>
            <w:tcBorders/>
          </w:tcPr>
          <w:p>
            <w:pPr>
              <w:pStyle w:val="Normal"/>
              <w:spacing w:before="100" w:after="0"/>
              <w:ind w:start="360" w:end="0"/>
              <w:rPr/>
            </w:pPr>
            <w:r>
              <w:rPr/>
              <w:t>(a)  Share-for-Share:</w:t>
            </w:r>
          </w:p>
        </w:tc>
        <w:tc>
          <w:tcPr>
            <w:tcW w:w="6390" w:type="dxa"/>
            <w:tcBorders/>
          </w:tcPr>
          <w:p>
            <w:pPr>
              <w:pStyle w:val="Normal"/>
              <w:spacing w:before="100" w:after="0"/>
              <w:jc w:val="both"/>
              <w:rPr/>
            </w:pPr>
            <w:r>
              <w:rPr/>
              <w:t>Alternative Obligation / Cancellation and Payment / Options Exchange Adjustment</w:t>
            </w:r>
          </w:p>
        </w:tc>
      </w:tr>
      <w:tr>
        <w:trPr/>
        <w:tc>
          <w:tcPr>
            <w:tcW w:w="3150" w:type="dxa"/>
            <w:tcBorders/>
          </w:tcPr>
          <w:p>
            <w:pPr>
              <w:pStyle w:val="Normal"/>
              <w:spacing w:before="100" w:after="0"/>
              <w:ind w:start="360" w:end="0"/>
              <w:rPr/>
            </w:pPr>
            <w:r>
              <w:rPr/>
              <w:t>(b)  Share-for-Other:</w:t>
            </w:r>
          </w:p>
        </w:tc>
        <w:tc>
          <w:tcPr>
            <w:tcW w:w="6390" w:type="dxa"/>
            <w:tcBorders/>
          </w:tcPr>
          <w:p>
            <w:pPr>
              <w:pStyle w:val="Normal"/>
              <w:spacing w:before="100" w:after="0"/>
              <w:jc w:val="both"/>
              <w:rPr/>
            </w:pPr>
            <w:r>
              <w:rPr/>
              <w:t>Alternative Obligation / Cancellation and Payment / Options Exchange Adjustment</w:t>
            </w:r>
          </w:p>
        </w:tc>
      </w:tr>
      <w:tr>
        <w:trPr/>
        <w:tc>
          <w:tcPr>
            <w:tcW w:w="3150" w:type="dxa"/>
            <w:tcBorders/>
          </w:tcPr>
          <w:p>
            <w:pPr>
              <w:pStyle w:val="Normal"/>
              <w:spacing w:before="100" w:after="0"/>
              <w:ind w:start="360" w:end="0"/>
              <w:rPr/>
            </w:pPr>
            <w:r>
              <w:rPr/>
              <w:t>(c)  Share-for-Combined:</w:t>
            </w:r>
          </w:p>
        </w:tc>
        <w:tc>
          <w:tcPr>
            <w:tcW w:w="6390" w:type="dxa"/>
            <w:tcBorders/>
          </w:tcPr>
          <w:p>
            <w:pPr>
              <w:pStyle w:val="Normal"/>
              <w:spacing w:before="100" w:after="0"/>
              <w:jc w:val="both"/>
              <w:rPr/>
            </w:pPr>
            <w:r>
              <w:rPr/>
              <w:t>Alternative Obligation / Cancellation and Payment / Options Exchange Adjustment</w:t>
            </w:r>
          </w:p>
        </w:tc>
      </w:tr>
      <w:tr>
        <w:trPr/>
        <w:tc>
          <w:tcPr>
            <w:tcW w:w="3150" w:type="dxa"/>
            <w:tcBorders/>
          </w:tcPr>
          <w:p>
            <w:pPr>
              <w:pStyle w:val="Normal"/>
              <w:spacing w:before="100" w:after="0"/>
              <w:ind w:start="360" w:end="0"/>
              <w:rPr/>
            </w:pPr>
            <w:r>
              <w:rPr/>
              <w:t>Alternative Obligation:</w:t>
            </w:r>
          </w:p>
        </w:tc>
        <w:tc>
          <w:tcPr>
            <w:tcW w:w="6390" w:type="dxa"/>
            <w:tcBorders/>
          </w:tcPr>
          <w:p>
            <w:pPr>
              <w:pStyle w:val="Normal"/>
              <w:spacing w:before="100" w:after="0"/>
              <w:jc w:val="both"/>
              <w:rPr/>
            </w:pPr>
            <w:r>
              <w:rPr/>
              <w:t xml:space="preserve">The applicable definition of “Alternative Obligation” in subsections 9.3(b), (c) and (d) of the Equity Definitions shall be amended by adding the following at the end of each such subsection:  </w:t>
            </w:r>
          </w:p>
          <w:p>
            <w:pPr>
              <w:pStyle w:val="Normal"/>
              <w:spacing w:before="100" w:after="0"/>
              <w:jc w:val="both"/>
              <w:rPr/>
            </w:pPr>
            <w:r>
              <w:rPr/>
              <w:t>“</w:t>
            </w:r>
            <w:r>
              <w:rPr/>
              <w:t>including any one or more of the Strike Price, Number of Options, Option Entitlement, Reference Price, Settlement Price and any other variable relevant to the exercise, settlement or payment terms of each such Transaction.  Notwithstanding the above, the Calculation Agent will determine if any such Merger Event adjustment affects the theoretical value of any such Transaction, and if so, may in its reasonable discretion make an adjustment to any one or more of the Strike Price, Number of Options, Option Entitlement, Reference Price, Settlement Price and any other variable relevant to the exercise, settlement or payment terms of such Transaction to reflect the characteristics (including, without limitation, the volatility, dividend practice and policy and liquidity) of the New Shares and/or the Other Consideration.  Any adjustment made pursuant to this paragraph will be effective as of the date determined by the Calculation Agent.</w:t>
            </w:r>
          </w:p>
        </w:tc>
      </w:tr>
      <w:tr>
        <w:trPr/>
        <w:tc>
          <w:tcPr>
            <w:tcW w:w="3150" w:type="dxa"/>
            <w:tcBorders/>
          </w:tcPr>
          <w:p>
            <w:pPr>
              <w:pStyle w:val="Normal"/>
              <w:spacing w:before="100" w:after="0"/>
              <w:rPr/>
            </w:pPr>
            <w:r>
              <w:rPr/>
              <w:t>[Options Exchange:</w:t>
            </w:r>
          </w:p>
        </w:tc>
        <w:tc>
          <w:tcPr>
            <w:tcW w:w="6390" w:type="dxa"/>
            <w:tcBorders/>
          </w:tcPr>
          <w:p>
            <w:pPr>
              <w:pStyle w:val="Normal"/>
              <w:spacing w:before="100" w:after="0"/>
              <w:jc w:val="both"/>
              <w:rPr/>
            </w:pPr>
            <w:r>
              <w:rPr/>
              <w:t>[                   ]]</w:t>
            </w:r>
          </w:p>
        </w:tc>
      </w:tr>
      <w:tr>
        <w:trPr/>
        <w:tc>
          <w:tcPr>
            <w:tcW w:w="3150" w:type="dxa"/>
            <w:tcBorders/>
          </w:tcPr>
          <w:p>
            <w:pPr>
              <w:pStyle w:val="Normal"/>
              <w:spacing w:before="100" w:after="0"/>
              <w:rPr>
                <w:b/>
              </w:rPr>
            </w:pPr>
            <w:r>
              <w:rPr>
                <w:b/>
              </w:rPr>
              <w:t>Nationalization or Insolvency:</w:t>
            </w:r>
          </w:p>
        </w:tc>
        <w:tc>
          <w:tcPr>
            <w:tcW w:w="6390" w:type="dxa"/>
            <w:tcBorders/>
          </w:tcPr>
          <w:p>
            <w:pPr>
              <w:pStyle w:val="Normal"/>
              <w:spacing w:before="100" w:after="0"/>
              <w:jc w:val="both"/>
              <w:rPr/>
            </w:pPr>
            <w:r>
              <w:rPr/>
              <w:t>Cancellation and Payment, provided that payment terms and provisions shall occur as specified in the Early Termination section of this Confirmation.</w:t>
            </w:r>
          </w:p>
        </w:tc>
      </w:tr>
      <w:tr>
        <w:trPr/>
        <w:tc>
          <w:tcPr>
            <w:tcW w:w="3150" w:type="dxa"/>
            <w:tcBorders/>
          </w:tcPr>
          <w:p>
            <w:pPr>
              <w:pStyle w:val="Normal"/>
              <w:spacing w:before="100" w:after="0"/>
              <w:rPr>
                <w:b/>
              </w:rPr>
            </w:pPr>
            <w:r>
              <w:rPr>
                <w:b/>
              </w:rPr>
              <w:t>Other Provisions:</w:t>
            </w:r>
          </w:p>
        </w:tc>
        <w:tc>
          <w:tcPr>
            <w:tcW w:w="6390" w:type="dxa"/>
            <w:tcBorders/>
          </w:tcPr>
          <w:p>
            <w:pPr>
              <w:pStyle w:val="Normal"/>
              <w:snapToGrid w:val="false"/>
              <w:spacing w:before="100" w:after="0"/>
              <w:jc w:val="both"/>
              <w:rPr>
                <w:b/>
              </w:rPr>
            </w:pPr>
            <w:r>
              <w:rPr>
                <w:b/>
              </w:rPr>
            </w:r>
          </w:p>
        </w:tc>
      </w:tr>
      <w:tr>
        <w:trPr/>
        <w:tc>
          <w:tcPr>
            <w:tcW w:w="3150" w:type="dxa"/>
            <w:tcBorders/>
          </w:tcPr>
          <w:p>
            <w:pPr>
              <w:pStyle w:val="Normal"/>
              <w:spacing w:before="100" w:after="0"/>
              <w:ind w:start="360" w:end="0"/>
              <w:rPr/>
            </w:pPr>
            <w:r>
              <w:rPr/>
              <w:t>Party B Representations:</w:t>
            </w:r>
          </w:p>
        </w:tc>
        <w:tc>
          <w:tcPr>
            <w:tcW w:w="6390" w:type="dxa"/>
            <w:tcBorders/>
          </w:tcPr>
          <w:p>
            <w:pPr>
              <w:pStyle w:val="Normal"/>
              <w:snapToGrid w:val="false"/>
              <w:rPr/>
            </w:pPr>
            <w:r>
              <w:rPr/>
            </w:r>
          </w:p>
        </w:tc>
      </w:tr>
      <w:tr>
        <w:trPr/>
        <w:tc>
          <w:tcPr>
            <w:tcW w:w="3150" w:type="dxa"/>
            <w:tcBorders/>
          </w:tcPr>
          <w:p>
            <w:pPr>
              <w:pStyle w:val="Normal"/>
              <w:snapToGrid w:val="false"/>
              <w:spacing w:before="100" w:after="0"/>
              <w:ind w:start="360" w:end="0"/>
              <w:rPr/>
            </w:pPr>
            <w:r>
              <w:rPr/>
            </w:r>
          </w:p>
        </w:tc>
        <w:tc>
          <w:tcPr>
            <w:tcW w:w="6390" w:type="dxa"/>
            <w:tcBorders/>
          </w:tcPr>
          <w:p>
            <w:pPr>
              <w:pStyle w:val="Normal"/>
              <w:spacing w:before="100" w:after="0"/>
              <w:jc w:val="both"/>
              <w:rPr>
                <w:b/>
              </w:rPr>
            </w:pPr>
            <w:r>
              <w:rPr>
                <w:b/>
              </w:rPr>
              <w:t>Neither Party A nor any of its affiliates has advised Party B with respect to any legal, regulatory, tax, accounting or economic consequences arising from this  Transaction, and neither Party A nor any of its affiliates is acting as agent (other than LBI as dual agent if specified above), or advisor for Party B in connection with this Transaction.</w:t>
            </w:r>
          </w:p>
          <w:p>
            <w:pPr>
              <w:pStyle w:val="Normal"/>
              <w:spacing w:before="100" w:after="0"/>
              <w:jc w:val="both"/>
              <w:rPr/>
            </w:pPr>
            <w:r>
              <w:rPr/>
              <w:t>Each of its required filings under all applicable securities laws have been filed and that, as of the respective dates thereof, there is no misstatement of material fact contained therein or omission of a material fact required to be stated therein or necessary to make the statements therein not misleading.</w:t>
            </w:r>
          </w:p>
          <w:p>
            <w:pPr>
              <w:pStyle w:val="Normal"/>
              <w:spacing w:before="100" w:after="0"/>
              <w:jc w:val="both"/>
              <w:rPr/>
            </w:pPr>
            <w:r>
              <w:rPr/>
              <w:t>It is not entering into this Transaction to create actual or apparent trading activity in the Shares (or any security convertible into or exchangeable for Shares), to manipulate the price of the Shares (or any security convertible into or exchangeable for Shares) or to facilitate a distribution of Shares (or any security convertible into or exchangeable for Shares).</w:t>
            </w:r>
          </w:p>
          <w:p>
            <w:pPr>
              <w:pStyle w:val="Normal"/>
              <w:spacing w:before="100" w:after="0"/>
              <w:jc w:val="both"/>
              <w:rPr/>
            </w:pPr>
            <w:r>
              <w:rPr/>
              <w:t>It has not entered into any obligation that would contractually limit it from effecting Physical Settlement or Cash Settlement under this Transaction and it agrees not to enter into any such obligation during the term of this Transaction.</w:t>
            </w:r>
          </w:p>
          <w:p>
            <w:pPr>
              <w:pStyle w:val="Normal"/>
              <w:spacing w:before="100" w:after="0"/>
              <w:jc w:val="both"/>
              <w:rPr/>
            </w:pPr>
            <w:r>
              <w:rPr/>
              <w:t>If Party B purchases any Shares pursuant to this Transaction, such purchase(s) will comply with (i) all laws and regulations applicable to it and (ii) all contractual obligations of Party B.</w:t>
            </w:r>
          </w:p>
        </w:tc>
      </w:tr>
      <w:tr>
        <w:trPr/>
        <w:tc>
          <w:tcPr>
            <w:tcW w:w="3150" w:type="dxa"/>
            <w:tcBorders/>
          </w:tcPr>
          <w:p>
            <w:pPr>
              <w:pStyle w:val="Normal"/>
              <w:spacing w:before="100" w:after="0"/>
              <w:ind w:start="360" w:end="0"/>
              <w:rPr/>
            </w:pPr>
            <w:r>
              <w:rPr/>
              <w:t>Definitions:</w:t>
            </w:r>
          </w:p>
        </w:tc>
        <w:tc>
          <w:tcPr>
            <w:tcW w:w="6390" w:type="dxa"/>
            <w:tcBorders/>
          </w:tcPr>
          <w:p>
            <w:pPr>
              <w:pStyle w:val="Subtitle"/>
              <w:spacing w:before="120" w:after="0"/>
              <w:jc w:val="both"/>
              <w:rPr>
                <w:b w:val="false"/>
              </w:rPr>
            </w:pPr>
            <w:r>
              <w:rPr>
                <w:b w:val="false"/>
              </w:rPr>
              <w:t xml:space="preserve">The definition of “Merger Event” in Section 9.2(a) of the Equity Definitions shall be deleted in its entirety and replaced with the following: </w:t>
            </w:r>
          </w:p>
          <w:p>
            <w:pPr>
              <w:pStyle w:val="Subtitle"/>
              <w:jc w:val="both"/>
              <w:rPr>
                <w:b w:val="false"/>
              </w:rPr>
            </w:pPr>
            <w:r>
              <w:rPr>
                <w:b w:val="false"/>
              </w:rPr>
            </w:r>
          </w:p>
          <w:p>
            <w:pPr>
              <w:pStyle w:val="Subtitle"/>
              <w:jc w:val="both"/>
              <w:rPr>
                <w:b w:val="false"/>
              </w:rPr>
            </w:pPr>
            <w:r>
              <w:rPr>
                <w:b w:val="false"/>
              </w:rPr>
              <w:t>“</w:t>
            </w:r>
            <w:r>
              <w:rPr>
                <w:b w:val="false"/>
              </w:rPr>
              <w:t>Merger Event” means any (i) reclassification or change of the Shares that results in a transfer of, or an irrevocable commitment to transfer 0% or more of all outstanding Shares, (ii) consolidation, amalgamation or merger of the Issuer with or into another entity (other than a consolidation, amalgamation or merger in which the Issuer is the continuing entity and which does not result in any such reclassification or change of 0% or more of all outstanding Shares) or (iii) other takeover offer for the Shares that results in a transfer of or an irrevocable commitment to transfer 0% or more of all the outstanding Shares (other than the Shares owned or controlled by the offeror), in each case if the Merger Date is on or before, in the case of a Physically-settled Option Transaction, the Expiration Date or, in any other case, the final Valuation Date.”</w:t>
            </w:r>
          </w:p>
          <w:p>
            <w:pPr>
              <w:pStyle w:val="Subtitle"/>
              <w:tabs>
                <w:tab w:val="clear" w:pos="720"/>
                <w:tab w:val="left" w:pos="360" w:leader="none"/>
              </w:tabs>
              <w:jc w:val="both"/>
              <w:rPr>
                <w:b w:val="false"/>
              </w:rPr>
            </w:pPr>
            <w:r>
              <w:rPr>
                <w:b w:val="false"/>
              </w:rPr>
            </w:r>
          </w:p>
        </w:tc>
      </w:tr>
      <w:tr>
        <w:trPr/>
        <w:tc>
          <w:tcPr>
            <w:tcW w:w="3150" w:type="dxa"/>
            <w:tcBorders/>
          </w:tcPr>
          <w:p>
            <w:pPr>
              <w:pStyle w:val="Normal"/>
              <w:spacing w:before="100" w:after="0"/>
              <w:ind w:start="360" w:end="0"/>
              <w:rPr/>
            </w:pPr>
            <w:r>
              <w:rPr/>
              <w:t>Regulation M/Tender Offer Event:</w:t>
            </w:r>
          </w:p>
        </w:tc>
        <w:tc>
          <w:tcPr>
            <w:tcW w:w="6390" w:type="dxa"/>
            <w:tcBorders/>
          </w:tcPr>
          <w:p>
            <w:pPr>
              <w:pStyle w:val="Normal"/>
              <w:spacing w:before="100" w:after="0"/>
              <w:jc w:val="both"/>
              <w:rPr>
                <w:lang w:eastAsia="en-US"/>
              </w:rPr>
            </w:pPr>
            <w:r>
              <w:rPr>
                <w:lang w:eastAsia="en-US"/>
              </w:rPr>
              <w:t xml:space="preserve">If, during the period within five (5) Exchange Business Days up to and including the Exercise Date, a Regulation M/Tender Offer Event occurs and Party B has elected (or is deemed to have elected) Physical Settlement, then notwithstanding such election, Cash Settlement shall apply. </w:t>
            </w:r>
          </w:p>
          <w:p>
            <w:pPr>
              <w:pStyle w:val="Normal"/>
              <w:spacing w:before="100" w:after="0"/>
              <w:jc w:val="both"/>
              <w:rPr>
                <w:lang w:eastAsia="en-US"/>
              </w:rPr>
            </w:pPr>
            <w:r>
              <w:rPr>
                <w:lang w:eastAsia="en-US"/>
              </w:rPr>
              <w:t>If a Regulation M/Tender Offer Event occurs, then the Valuation Date and the Exercise Date shall be deemed to be the date that is ten (10) Exchange Business Days after such occurrence. Party A will adjust any term of this Transaction to reflect the economic impact of such postponement in a commercially reasonable manner.</w:t>
            </w:r>
          </w:p>
          <w:p>
            <w:pPr>
              <w:pStyle w:val="Normal"/>
              <w:spacing w:before="100" w:after="0"/>
              <w:jc w:val="both"/>
              <w:rPr/>
            </w:pPr>
            <w:r>
              <w:rPr>
                <w:lang w:eastAsia="en-US"/>
              </w:rPr>
              <w:t>“</w:t>
            </w:r>
            <w:r>
              <w:rPr>
                <w:lang w:eastAsia="en-US"/>
              </w:rPr>
              <w:t>Regulation M/Tender Offer Event</w:t>
            </w:r>
            <w:r>
              <w:rPr>
                <w:i/>
                <w:lang w:eastAsia="en-US"/>
              </w:rPr>
              <w:t xml:space="preserve">” </w:t>
            </w:r>
            <w:r>
              <w:rPr>
                <w:lang w:eastAsia="en-US"/>
              </w:rPr>
              <w:t xml:space="preserve">means: (a) Party B becomes engaged in a distribution of its common stock within the meaning of Regulation M under the Securities Exchange Act of 1934, </w:t>
            </w:r>
          </w:p>
          <w:p>
            <w:pPr>
              <w:pStyle w:val="Normal"/>
              <w:spacing w:before="100" w:after="0"/>
              <w:jc w:val="both"/>
              <w:rPr>
                <w:lang w:eastAsia="en-US"/>
              </w:rPr>
            </w:pPr>
            <w:r>
              <w:rPr>
                <w:lang w:eastAsia="en-US"/>
              </w:rPr>
              <w:t>(b) Party B becomes or has become engaged in a tender offer for its own stock, or</w:t>
            </w:r>
          </w:p>
          <w:p>
            <w:pPr>
              <w:pStyle w:val="Normal"/>
              <w:spacing w:before="100" w:after="0"/>
              <w:jc w:val="both"/>
              <w:rPr>
                <w:lang w:eastAsia="en-US"/>
              </w:rPr>
            </w:pPr>
            <w:r>
              <w:rPr>
                <w:lang w:eastAsia="en-US"/>
              </w:rPr>
              <w:t>(c) a third party has made or makes a tender offer for Party B’s stock, and Party B does not comply with Rule 13e-1 under the Exchange Act.</w:t>
            </w:r>
          </w:p>
        </w:tc>
      </w:tr>
    </w:tbl>
    <w:p>
      <w:pPr>
        <w:pStyle w:val="Normal"/>
        <w:tabs>
          <w:tab w:val="left" w:pos="720" w:leader="none"/>
          <w:tab w:val="left" w:pos="1080" w:leader="none"/>
          <w:tab w:val="left" w:pos="9360" w:leader="none"/>
        </w:tabs>
        <w:spacing w:before="240" w:after="0"/>
        <w:jc w:val="both"/>
        <w:rPr/>
      </w:pPr>
      <w:r>
        <w:rPr/>
        <w:t>Calculation Agent:   LBI, whose determinations and calculations shall be binding in the absence of manifest error.</w:t>
      </w:r>
      <w:r>
        <w:rPr>
          <w:b/>
        </w:rPr>
        <w:t xml:space="preserve"> </w:t>
      </w:r>
    </w:p>
    <w:p>
      <w:pPr>
        <w:pStyle w:val="Normal"/>
        <w:jc w:val="both"/>
        <w:rPr>
          <w:b/>
        </w:rPr>
      </w:pPr>
      <w:r>
        <w:rPr>
          <w:b/>
        </w:rPr>
      </w:r>
    </w:p>
    <w:p>
      <w:pPr>
        <w:pStyle w:val="BodyText2"/>
        <w:rPr/>
      </w:pPr>
      <w:r>
        <w:rPr/>
        <w:t>"THE SECURITIES REPRESENTED BY THE CONFIRMATION HAVE BEEN ACQUIRED FOR INVESTMENT AND HAVE NOT BEEN REGISTERED UNDER THE UNITED STATES SECURITIES ACT OF 1933 OR ANY OTHER UNITED STATES FEDERAL OR STATE SECURITIES LAWS; SUCH SECURITIES MAY NOT BE SOLD OR OTHERWISE TRANSFERRED IN THE ABSENCE OF APPROPRIATE REGISTRATION UNDER SUCH SECURITIES LAWS OR EXCEPT IN A TRANSACTION EXEMPT FROM OR NOT SUBJECT TO THE REGISTRATION REQUIREMENTS OF SUCH SECURITIES LAWS."</w:t>
      </w:r>
    </w:p>
    <w:p>
      <w:pPr>
        <w:pStyle w:val="Normal"/>
        <w:tabs>
          <w:tab w:val="left" w:pos="720" w:leader="none"/>
          <w:tab w:val="left" w:pos="1008" w:leader="none"/>
          <w:tab w:val="left" w:pos="4500" w:leader="none"/>
        </w:tabs>
        <w:rPr>
          <w:lang w:eastAsia="en-US"/>
        </w:rPr>
      </w:pPr>
      <w:r>
        <w:rPr>
          <w:lang w:eastAsia="en-US"/>
        </w:rPr>
      </w:r>
    </w:p>
    <w:p>
      <w:pPr>
        <w:pStyle w:val="Normal"/>
        <w:tabs>
          <w:tab w:val="left" w:pos="720" w:leader="none"/>
          <w:tab w:val="left" w:pos="1008" w:leader="none"/>
          <w:tab w:val="left" w:pos="4500" w:leader="none"/>
        </w:tabs>
        <w:rPr/>
      </w:pPr>
      <w:r>
        <w:rPr>
          <w:lang w:eastAsia="en-US"/>
        </w:rPr>
        <w:t>Please confirm your agreement with the foregoing by executing this Confirmation and returning it to us at facsimile number 201-524-2080, Attention: Documentation</w:t>
      </w:r>
      <w:r>
        <w:rPr/>
        <w:t>.</w:t>
      </w:r>
    </w:p>
    <w:p>
      <w:pPr>
        <w:pStyle w:val="Normal"/>
        <w:tabs>
          <w:tab w:val="left" w:pos="720" w:leader="none"/>
          <w:tab w:val="left" w:pos="1008" w:leader="none"/>
          <w:tab w:val="left" w:pos="4500" w:leader="none"/>
        </w:tabs>
        <w:rPr/>
      </w:pPr>
      <w:r>
        <w:rPr/>
      </w:r>
    </w:p>
    <w:p>
      <w:pPr>
        <w:pStyle w:val="Normal"/>
        <w:tabs>
          <w:tab w:val="left" w:pos="720" w:leader="none"/>
          <w:tab w:val="left" w:pos="1008" w:leader="none"/>
          <w:tab w:val="left" w:pos="4500" w:leader="none"/>
        </w:tabs>
        <w:rPr/>
      </w:pPr>
      <w:r>
        <w:rPr/>
        <w:t>Yours sincerely,</w:t>
        <w:tab/>
        <w:t>Confirmed as of the date first above written:</w:t>
      </w:r>
    </w:p>
    <w:p>
      <w:pPr>
        <w:pStyle w:val="Heading6"/>
        <w:ind w:hanging="0" w:start="0"/>
        <w:rPr/>
      </w:pPr>
      <w:r>
        <w:rPr/>
        <w:t>Lehman Brothers Finance S.A.                                      Enron Corp.</w:t>
      </w:r>
    </w:p>
    <w:p>
      <w:pPr>
        <w:pStyle w:val="Normal"/>
        <w:keepNext w:val="true"/>
        <w:keepLines/>
        <w:tabs>
          <w:tab w:val="clear" w:pos="720"/>
          <w:tab w:val="left" w:pos="851" w:leader="none"/>
        </w:tabs>
        <w:rPr/>
      </w:pPr>
      <w:r>
        <w:rPr/>
      </w:r>
    </w:p>
    <w:tbl>
      <w:tblPr>
        <w:tblW w:w="8568" w:type="dxa"/>
        <w:jc w:val="start"/>
        <w:tblInd w:w="0" w:type="dxa"/>
        <w:tblLayout w:type="fixed"/>
        <w:tblCellMar>
          <w:top w:w="0" w:type="dxa"/>
          <w:start w:w="108" w:type="dxa"/>
          <w:bottom w:w="0" w:type="dxa"/>
          <w:end w:w="108" w:type="dxa"/>
        </w:tblCellMar>
      </w:tblPr>
      <w:tblGrid>
        <w:gridCol w:w="4248"/>
        <w:gridCol w:w="4320"/>
      </w:tblGrid>
      <w:tr>
        <w:trPr/>
        <w:tc>
          <w:tcPr>
            <w:tcW w:w="4248" w:type="dxa"/>
            <w:tcBorders/>
          </w:tcPr>
          <w:p>
            <w:pPr>
              <w:pStyle w:val="FootnoteText"/>
              <w:keepNext w:val="true"/>
              <w:keepLines/>
              <w:tabs>
                <w:tab w:val="clear" w:pos="720"/>
                <w:tab w:val="left" w:pos="851" w:leader="none"/>
              </w:tabs>
              <w:snapToGrid w:val="false"/>
              <w:rPr/>
            </w:pPr>
            <w:r>
              <w:rPr/>
            </w:r>
            <w:bookmarkStart w:id="0" w:name="sig_generic_01"/>
            <w:bookmarkStart w:id="1" w:name="sig_generic_01"/>
            <w:bookmarkEnd w:id="1"/>
          </w:p>
        </w:tc>
        <w:tc>
          <w:tcPr>
            <w:tcW w:w="4320" w:type="dxa"/>
            <w:tcBorders/>
          </w:tcPr>
          <w:p>
            <w:pPr>
              <w:pStyle w:val="Normal"/>
              <w:keepNext w:val="true"/>
              <w:keepLines/>
              <w:tabs>
                <w:tab w:val="clear" w:pos="720"/>
                <w:tab w:val="left" w:pos="851" w:leader="none"/>
              </w:tabs>
              <w:snapToGrid w:val="false"/>
              <w:rPr/>
            </w:pPr>
            <w:r>
              <w:rPr/>
            </w:r>
          </w:p>
          <w:p>
            <w:pPr>
              <w:pStyle w:val="FootnoteText"/>
              <w:keepNext w:val="true"/>
              <w:keepLines/>
              <w:tabs>
                <w:tab w:val="clear" w:pos="720"/>
                <w:tab w:val="left" w:pos="851" w:leader="none"/>
              </w:tabs>
              <w:rPr/>
            </w:pPr>
            <w:r>
              <w:rPr/>
            </w:r>
          </w:p>
          <w:p>
            <w:pPr>
              <w:pStyle w:val="Normal"/>
              <w:keepNext w:val="true"/>
              <w:keepLines/>
              <w:tabs>
                <w:tab w:val="clear" w:pos="720"/>
                <w:tab w:val="left" w:pos="851" w:leader="none"/>
              </w:tabs>
              <w:rPr/>
            </w:pPr>
            <w:r>
              <w:rPr/>
            </w:r>
          </w:p>
          <w:p>
            <w:pPr>
              <w:pStyle w:val="Normal"/>
              <w:keepNext w:val="true"/>
              <w:keepLines/>
              <w:tabs>
                <w:tab w:val="clear" w:pos="720"/>
                <w:tab w:val="left" w:pos="851" w:leader="none"/>
              </w:tabs>
              <w:ind w:firstLine="612" w:end="0"/>
              <w:rPr/>
            </w:pPr>
            <w:r>
              <w:rPr/>
              <w:t>By:    ________________________</w:t>
            </w:r>
          </w:p>
          <w:p>
            <w:pPr>
              <w:pStyle w:val="Normal"/>
              <w:keepNext w:val="true"/>
              <w:keepLines/>
              <w:tabs>
                <w:tab w:val="clear" w:pos="720"/>
                <w:tab w:val="left" w:pos="851" w:leader="none"/>
              </w:tabs>
              <w:ind w:firstLine="612" w:end="0"/>
              <w:rPr/>
            </w:pPr>
            <w:r>
              <w:rPr/>
              <w:t>Name:</w:t>
            </w:r>
          </w:p>
          <w:p>
            <w:pPr>
              <w:pStyle w:val="Normal"/>
              <w:keepNext w:val="true"/>
              <w:keepLines/>
              <w:tabs>
                <w:tab w:val="clear" w:pos="720"/>
                <w:tab w:val="left" w:pos="851" w:leader="none"/>
              </w:tabs>
              <w:ind w:firstLine="612" w:end="0"/>
              <w:rPr/>
            </w:pPr>
            <w:r>
              <w:rPr/>
              <w:t>Title:</w:t>
            </w:r>
          </w:p>
        </w:tc>
      </w:tr>
      <w:tr>
        <w:trPr/>
        <w:tc>
          <w:tcPr>
            <w:tcW w:w="4248" w:type="dxa"/>
            <w:tcBorders/>
          </w:tcPr>
          <w:p>
            <w:pPr>
              <w:pStyle w:val="Normal"/>
              <w:keepNext w:val="true"/>
              <w:keepLines/>
              <w:tabs>
                <w:tab w:val="clear" w:pos="720"/>
                <w:tab w:val="left" w:pos="851" w:leader="none"/>
              </w:tabs>
              <w:snapToGrid w:val="false"/>
              <w:rPr/>
            </w:pPr>
            <w:r>
              <w:rPr/>
            </w:r>
            <w:bookmarkStart w:id="2" w:name="sig_generic_02"/>
            <w:bookmarkStart w:id="3" w:name="sig_generic_02"/>
            <w:bookmarkEnd w:id="3"/>
          </w:p>
        </w:tc>
        <w:tc>
          <w:tcPr>
            <w:tcW w:w="4320" w:type="dxa"/>
            <w:tcBorders/>
          </w:tcPr>
          <w:p>
            <w:pPr>
              <w:pStyle w:val="Normal"/>
              <w:keepNext w:val="true"/>
              <w:keepLines/>
              <w:tabs>
                <w:tab w:val="clear" w:pos="720"/>
                <w:tab w:val="left" w:pos="851" w:leader="none"/>
              </w:tabs>
              <w:snapToGrid w:val="false"/>
              <w:rPr/>
            </w:pPr>
            <w:r>
              <w:rPr/>
            </w:r>
          </w:p>
        </w:tc>
      </w:tr>
    </w:tbl>
    <w:p>
      <w:pPr>
        <w:pStyle w:val="Normal"/>
        <w:keepNext w:val="true"/>
        <w:keepLines/>
        <w:tabs>
          <w:tab w:val="clear" w:pos="720"/>
          <w:tab w:val="left" w:pos="851" w:leader="none"/>
        </w:tabs>
        <w:rPr/>
      </w:pPr>
      <w:r>
        <w:rPr/>
      </w:r>
    </w:p>
    <w:p>
      <w:pPr>
        <w:pStyle w:val="Normal"/>
        <w:keepNext w:val="true"/>
        <w:keepLines/>
        <w:numPr>
          <w:ilvl w:val="0"/>
          <w:numId w:val="0"/>
        </w:numPr>
        <w:tabs>
          <w:tab w:val="clear" w:pos="720"/>
          <w:tab w:val="left" w:pos="851" w:leader="none"/>
        </w:tabs>
        <w:outlineLvl w:val="0"/>
        <w:rPr>
          <w:sz w:val="14"/>
        </w:rPr>
      </w:pPr>
      <w:r>
        <w:rPr>
          <w:sz w:val="14"/>
        </w:rPr>
        <w:t>Execution time will be furnished upon Counterparty's written request.</w:t>
      </w:r>
    </w:p>
    <w:p>
      <w:pPr>
        <w:pStyle w:val="Normal"/>
        <w:rPr>
          <w:sz w:val="14"/>
        </w:rPr>
      </w:pPr>
      <w:r>
        <w:rPr>
          <w:sz w:val="14"/>
        </w:rPr>
      </w:r>
    </w:p>
    <w:p>
      <w:pPr>
        <w:pStyle w:val="Normal"/>
        <w:rPr/>
      </w:pPr>
      <w:r>
        <w:rPr/>
      </w:r>
    </w:p>
    <w:p>
      <w:pPr>
        <w:pStyle w:val="Normal"/>
        <w:rPr/>
      </w:pPr>
      <w:r>
        <w:rPr/>
      </w:r>
    </w:p>
    <w:p>
      <w:pPr>
        <w:pStyle w:val="Normal"/>
        <w:numPr>
          <w:ilvl w:val="0"/>
          <w:numId w:val="0"/>
        </w:numPr>
        <w:jc w:val="center"/>
        <w:outlineLvl w:val="0"/>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Kennerly">
    <w:charset w:val="00" w:characterSet="windows-1252"/>
    <w:family w:val="decorative"/>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t>Issuer Put Template.01.18.01</w:t>
      <w:tab/>
    </w:r>
    <w:r>
      <w:rPr/>
      <w:fldChar w:fldCharType="begin"/>
    </w:r>
    <w:r>
      <w:rPr/>
      <w:instrText xml:space="preserve"> PAGE </w:instrText>
    </w:r>
    <w:r>
      <w:rPr/>
      <w:fldChar w:fldCharType="separate"/>
    </w:r>
    <w:r>
      <w:rPr/>
      <w:t>5</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LEHMAN BROTHERS FINANCE S.A.</w:t>
    </w:r>
  </w:p>
  <w:p>
    <w:pPr>
      <w:pStyle w:val="Footer"/>
      <w:jc w:val="center"/>
      <w:rPr>
        <w:sz w:val="16"/>
      </w:rPr>
    </w:pPr>
    <w:r>
      <w:rPr>
        <w:sz w:val="16"/>
      </w:rPr>
      <w:t>TALSTRASSE 82  -  P.O. BOX 2828  -  CH-8021 ZURICH  -  SWITZERLAND</w:t>
    </w:r>
  </w:p>
  <w:p>
    <w:pPr>
      <w:pStyle w:val="Footer"/>
      <w:jc w:val="center"/>
      <w:rPr>
        <w:sz w:val="16"/>
      </w:rPr>
    </w:pPr>
    <w:r>
      <w:rPr>
        <w:sz w:val="16"/>
      </w:rPr>
      <w:t>TELEPHONE (41-1) 287 88 42  -  TELEFAX (41-1) 287 88 25  -  TELEX 812096 LBFS CH</w:t>
    </w:r>
  </w:p>
  <w:p>
    <w:pPr>
      <w:pStyle w:val="Footer"/>
      <w:jc w:val="center"/>
      <w:rPr>
        <w:sz w:val="16"/>
      </w:rPr>
    </w:pPr>
    <w:r>
      <w:rPr>
        <w:sz w:val="16"/>
      </w:rPr>
      <w:t xml:space="preserve"> </w:t>
    </w:r>
  </w:p>
  <w:p>
    <w:pPr>
      <w:pStyle w:val="Footer"/>
      <w:jc w:val="center"/>
      <w:rPr>
        <w:sz w:val="16"/>
      </w:rPr>
    </w:pPr>
    <w:r>
      <w:rPr>
        <w:sz w:val="16"/>
      </w:rPr>
      <w:t xml:space="preserve"> </w:t>
    </w:r>
  </w:p>
  <w:p>
    <w:pPr>
      <w:pStyle w:val="Footer"/>
      <w:rPr>
        <w:sz w:val="16"/>
      </w:rPr>
    </w:pPr>
    <w:r>
      <w:rPr>
        <w:sz w:val="16"/>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Kennerly" w:ascii="Kennerly" w:hAnsi="Kennerly"/>
        <w:sz w:val="44"/>
      </w:rPr>
      <w:t>L</w:t>
    </w:r>
    <w:r>
      <w:rPr>
        <w:rFonts w:cs="Kennerly" w:ascii="Kennerly" w:hAnsi="Kennerly"/>
        <w:sz w:val="40"/>
      </w:rPr>
      <w:t>EHMAN</w:t>
    </w:r>
    <w:r>
      <w:rPr>
        <w:sz w:val="40"/>
      </w:rPr>
      <w:t xml:space="preserve"> </w:t>
    </w:r>
    <w:r>
      <w:rPr>
        <w:rFonts w:cs="Kennerly" w:ascii="Kennerly" w:hAnsi="Kennerly"/>
        <w:sz w:val="44"/>
      </w:rPr>
      <w:t>B</w:t>
    </w:r>
    <w:r>
      <w:rPr>
        <w:rFonts w:cs="Kennerly" w:ascii="Kennerly" w:hAnsi="Kennerly"/>
        <w:sz w:val="40"/>
      </w:rPr>
      <w:t>ROTHERS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docVars>
    <w:docVar w:name="BranchFile" w:val="no"/>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color w:val="FF0000"/>
    </w:rPr>
  </w:style>
  <w:style w:type="paragraph" w:styleId="Heading2">
    <w:name w:val="heading 2"/>
    <w:basedOn w:val="Normal"/>
    <w:next w:val="Normal"/>
    <w:qFormat/>
    <w:pPr>
      <w:keepNext w:val="true"/>
      <w:numPr>
        <w:ilvl w:val="1"/>
        <w:numId w:val="1"/>
      </w:numPr>
      <w:pBdr>
        <w:bottom w:val="single" w:sz="6" w:space="1" w:color="000000"/>
      </w:pBdr>
      <w:tabs>
        <w:tab w:val="clear" w:pos="720"/>
        <w:tab w:val="right" w:pos="11232" w:leader="none"/>
      </w:tabs>
      <w:ind w:hanging="0" w:start="187" w:end="605"/>
      <w:jc w:val="both"/>
      <w:outlineLvl w:val="1"/>
    </w:pPr>
    <w:rPr>
      <w:b/>
    </w:rPr>
  </w:style>
  <w:style w:type="paragraph" w:styleId="Heading3">
    <w:name w:val="heading 3"/>
    <w:basedOn w:val="Normal"/>
    <w:next w:val="Normal"/>
    <w:qFormat/>
    <w:pPr>
      <w:keepNext w:val="true"/>
      <w:numPr>
        <w:ilvl w:val="2"/>
        <w:numId w:val="1"/>
      </w:numPr>
      <w:ind w:firstLine="576" w:start="0" w:end="0"/>
      <w:outlineLvl w:val="2"/>
    </w:pPr>
    <w:rPr>
      <w:rFonts w:ascii="Arial" w:hAnsi="Arial" w:cs="Arial"/>
    </w:rPr>
  </w:style>
  <w:style w:type="paragraph" w:styleId="Heading4">
    <w:name w:val="heading 4"/>
    <w:basedOn w:val="Normal"/>
    <w:next w:val="Normal"/>
    <w:qFormat/>
    <w:pPr>
      <w:keepNext w:val="true"/>
      <w:numPr>
        <w:ilvl w:val="3"/>
        <w:numId w:val="1"/>
      </w:numPr>
      <w:tabs>
        <w:tab w:val="clear" w:pos="720"/>
        <w:tab w:val="right" w:pos="11232" w:leader="none"/>
      </w:tabs>
      <w:jc w:val="center"/>
      <w:outlineLvl w:val="3"/>
    </w:pPr>
    <w:rPr>
      <w:b/>
      <w:sz w:val="24"/>
    </w:rPr>
  </w:style>
  <w:style w:type="paragraph" w:styleId="Heading5">
    <w:name w:val="heading 5"/>
    <w:basedOn w:val="Normal"/>
    <w:next w:val="Normal"/>
    <w:qFormat/>
    <w:pPr>
      <w:keepNext w:val="true"/>
      <w:numPr>
        <w:ilvl w:val="4"/>
        <w:numId w:val="1"/>
      </w:numPr>
      <w:spacing w:before="100" w:after="0"/>
      <w:jc w:val="end"/>
      <w:outlineLvl w:val="4"/>
    </w:pPr>
    <w:rPr>
      <w:b/>
      <w:sz w:val="22"/>
    </w:rPr>
  </w:style>
  <w:style w:type="paragraph" w:styleId="Heading6">
    <w:name w:val="heading 6"/>
    <w:basedOn w:val="Normal"/>
    <w:next w:val="Normal"/>
    <w:qFormat/>
    <w:pPr>
      <w:keepNext w:val="true"/>
      <w:keepLines/>
      <w:numPr>
        <w:ilvl w:val="5"/>
        <w:numId w:val="1"/>
      </w:numPr>
      <w:tabs>
        <w:tab w:val="clear" w:pos="720"/>
        <w:tab w:val="left" w:pos="851" w:leader="none"/>
        <w:tab w:val="left" w:pos="1008" w:leader="none"/>
        <w:tab w:val="left" w:pos="4860" w:leader="none"/>
      </w:tabs>
      <w:outlineLvl w:val="5"/>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color w:val="FF0000"/>
      <w:sz w:val="32"/>
      <w:effect w:val="blinkBackground"/>
      <w:vertAlign w:val="superscript"/>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tabs>
        <w:tab w:val="clear" w:pos="720"/>
        <w:tab w:val="center" w:pos="4320" w:leader="none"/>
        <w:tab w:val="right" w:pos="8640" w:leader="none"/>
      </w:tabs>
    </w:pPr>
    <w:rPr>
      <w:sz w:val="20"/>
    </w:rPr>
  </w:style>
  <w:style w:type="paragraph" w:styleId="HiddenText">
    <w:name w:val="Hidden Text"/>
    <w:basedOn w:val="Normal"/>
    <w:next w:val="Normal"/>
    <w:qFormat/>
    <w:pPr>
      <w:tabs>
        <w:tab w:val="clear" w:pos="720"/>
        <w:tab w:val="left" w:pos="9648" w:leader="none"/>
      </w:tabs>
      <w:spacing w:before="240" w:after="0"/>
      <w:jc w:val="both"/>
    </w:pPr>
    <w:rPr>
      <w:vanish/>
      <w:color w:val="0000FF"/>
      <w:spacing w:val="30"/>
      <w:sz w:val="20"/>
    </w:rPr>
  </w:style>
  <w:style w:type="paragraph" w:styleId="HeadingConfirm">
    <w:name w:val="Heading (Confirm)"/>
    <w:basedOn w:val="Normal"/>
    <w:qFormat/>
    <w:pPr>
      <w:tabs>
        <w:tab w:val="clear" w:pos="720"/>
        <w:tab w:val="left" w:pos="576" w:leader="none"/>
        <w:tab w:val="left" w:pos="900" w:leader="none"/>
      </w:tabs>
      <w:spacing w:before="240" w:after="0"/>
      <w:jc w:val="both"/>
    </w:pPr>
    <w:rPr/>
  </w:style>
  <w:style w:type="paragraph" w:styleId="col2">
    <w:name w:val="col2"/>
    <w:basedOn w:val="Normal"/>
    <w:qFormat/>
    <w:pPr>
      <w:spacing w:lineRule="atLeast" w:line="240" w:before="0" w:after="240"/>
      <w:jc w:val="both"/>
    </w:pPr>
    <w:rPr/>
  </w:style>
  <w:style w:type="paragraph" w:styleId="gt1">
    <w:name w:val="gt1"/>
    <w:basedOn w:val="Normal"/>
    <w:qFormat/>
    <w:pPr>
      <w:spacing w:lineRule="atLeast" w:line="240" w:before="0" w:after="240"/>
      <w:ind w:hanging="0" w:start="720" w:end="0"/>
      <w:jc w:val="both"/>
    </w:pPr>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spacing w:before="240" w:after="0"/>
      <w:ind w:hanging="0" w:start="180" w:end="605"/>
      <w:jc w:val="center"/>
    </w:pPr>
    <w:rPr>
      <w:b/>
      <w:sz w:val="24"/>
    </w:rPr>
  </w:style>
  <w:style w:type="paragraph" w:styleId="TableText">
    <w:name w:val="TableText"/>
    <w:basedOn w:val="Normal"/>
    <w:qFormat/>
    <w:pPr>
      <w:spacing w:before="0" w:after="120"/>
      <w:jc w:val="both"/>
    </w:pPr>
    <w:rPr>
      <w:sz w:val="24"/>
    </w:rPr>
  </w:style>
  <w:style w:type="paragraph" w:styleId="Subtitle">
    <w:name w:val="Subtitle"/>
    <w:basedOn w:val="Normal"/>
    <w:next w:val="BodyText"/>
    <w:qFormat/>
    <w:pPr>
      <w:jc w:val="center"/>
    </w:pPr>
    <w:rPr>
      <w:b/>
    </w:rPr>
  </w:style>
  <w:style w:type="paragraph" w:styleId="BodyText2">
    <w:name w:val="Body Text 2"/>
    <w:basedOn w:val="Normal"/>
    <w:qFormat/>
    <w:pPr>
      <w:jc w:val="both"/>
    </w:pPr>
    <w:rPr>
      <w:b/>
    </w:rPr>
  </w:style>
  <w:style w:type="paragraph" w:styleId="BodyText3">
    <w:name w:val="Body Text 3"/>
    <w:basedOn w:val="Normal"/>
    <w:qFormat/>
    <w:pPr>
      <w:spacing w:before="100" w:after="0"/>
      <w:jc w:val="both"/>
    </w:pPr>
    <w:rPr>
      <w:color w:val="FF0000"/>
    </w:rPr>
  </w:style>
  <w:style w:type="paragraph" w:styleId="t1">
    <w:name w:val="t1"/>
    <w:basedOn w:val="Normal"/>
    <w:qFormat/>
    <w:pPr>
      <w:widowControl w:val="false"/>
      <w:spacing w:lineRule="atLeast" w:line="32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Lehman S.dot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2001-03-15T15:02:00Z</dcterms:created>
  <dc:creator>SYSTEM</dc:creator>
  <dc:description/>
  <dc:language>en-CA</dc:language>
  <cp:lastModifiedBy>Matt Fleming</cp:lastModifiedBy>
  <cp:lastPrinted>2000-10-02T15:57:00Z</cp:lastPrinted>
  <dcterms:modified xsi:type="dcterms:W3CDTF">2001-03-15T15:02:00Z</dcterms:modified>
  <cp:revision>2</cp:revision>
  <dc:subject/>
  <dc:title>AdjExordEvents_Comments_MultiLine: Error: &lt;AdjExordEvents_Comments_MultiLine&gt;</dc:title>
</cp:coreProperties>
</file>