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end"/>
        <w:rPr/>
      </w:pPr>
      <w:r>
        <w:rPr/>
        <w:t>May 11</w:t>
      </w:r>
      <w:r>
        <w:rPr>
          <w:vertAlign w:val="superscript"/>
        </w:rPr>
        <w:t>th</w:t>
      </w:r>
      <w:r>
        <w:rPr/>
        <w:t>, 2001</w:t>
      </w:r>
    </w:p>
    <w:p>
      <w:pPr>
        <w:pStyle w:val="Normal"/>
        <w:rPr/>
      </w:pPr>
      <w:r>
        <w:rPr/>
      </w:r>
    </w:p>
    <w:p>
      <w:pPr>
        <w:pStyle w:val="Normal"/>
        <w:rPr/>
      </w:pPr>
      <w:r>
        <w:rPr/>
      </w:r>
    </w:p>
    <w:p>
      <w:pPr>
        <w:pStyle w:val="Normal"/>
        <w:rPr/>
      </w:pPr>
      <w:r>
        <w:rPr/>
        <w:t>Mr. Ken Rice</w:t>
      </w:r>
    </w:p>
    <w:p>
      <w:pPr>
        <w:pStyle w:val="Normal"/>
        <w:rPr/>
      </w:pPr>
      <w:r>
        <w:rPr/>
        <w:t>CEO</w:t>
      </w:r>
    </w:p>
    <w:p>
      <w:pPr>
        <w:pStyle w:val="Normal"/>
        <w:rPr/>
      </w:pPr>
      <w:r>
        <w:rPr/>
        <w:t>Enron Broadband Services</w:t>
      </w:r>
    </w:p>
    <w:p>
      <w:pPr>
        <w:pStyle w:val="Normal"/>
        <w:rPr/>
      </w:pPr>
      <w:r>
        <w:rPr/>
        <w:t>1400 Smith Street</w:t>
      </w:r>
    </w:p>
    <w:p>
      <w:pPr>
        <w:pStyle w:val="Normal"/>
        <w:rPr/>
      </w:pPr>
      <w:r>
        <w:rPr/>
        <w:t>Houston, TX 77002</w:t>
      </w:r>
    </w:p>
    <w:p>
      <w:pPr>
        <w:pStyle w:val="Normal"/>
        <w:rPr/>
      </w:pPr>
      <w:r>
        <w:rPr/>
      </w:r>
    </w:p>
    <w:p>
      <w:pPr>
        <w:pStyle w:val="Header"/>
        <w:tabs>
          <w:tab w:val="clear" w:pos="4320"/>
          <w:tab w:val="clear" w:pos="8640"/>
        </w:tabs>
        <w:rPr/>
      </w:pPr>
      <w:r>
        <w:rPr/>
      </w:r>
    </w:p>
    <w:p>
      <w:pPr>
        <w:pStyle w:val="Normal"/>
        <w:rPr/>
      </w:pPr>
      <w:r>
        <w:rPr/>
        <w:t>Dear Ken,</w:t>
      </w:r>
    </w:p>
    <w:p>
      <w:pPr>
        <w:pStyle w:val="Normal"/>
        <w:rPr/>
      </w:pPr>
      <w:r>
        <w:rPr/>
      </w:r>
    </w:p>
    <w:p>
      <w:pPr>
        <w:pStyle w:val="Normal"/>
        <w:rPr/>
      </w:pPr>
      <w:r>
        <w:rPr/>
        <w:t xml:space="preserve">As you may have heard from Jeff and your colleagues, we had a fruitful meeting with Dave Dorman.  He is open, he understands our view of the world, and he is ready to explore cooperation opportunities between AT&amp;T and Enron.  He also believes given the complex nature of the telecom space, Adventis can play the role of bridging the old world with the new world. We believe there is a compelling story to be told. In that spirit, building on the very successful AT&amp;T meeting we look forward to assisting you in shaping your approach and messages to be most effective within the AT&amp;T environment, ands subsequently a full range of Telco’s world-wide.  </w:t>
      </w:r>
    </w:p>
    <w:p>
      <w:pPr>
        <w:pStyle w:val="Normal"/>
        <w:rPr/>
      </w:pPr>
      <w:r>
        <w:rPr/>
      </w:r>
    </w:p>
    <w:p>
      <w:pPr>
        <w:pStyle w:val="Normal"/>
        <w:rPr/>
      </w:pPr>
      <w:r>
        <w:rPr/>
        <w:t>As you might have sensed, we have enjoyed the meetings our respective teams have had for gaining a fuller appreciation for the range of capabilities Enron Broadband Services Group offers to the marketplace. We were also not surprised by the response Enron had received to date, but we do believe a successful approach can be executed if the Enron team can remain open minded to the notion that playing to the unique peculiarities of AT&amp;T can lead to long term success.  Moving forward, given the promise of major possibilities with AT&amp;T, I have taken the liberty of sharing with you my thoughts on how we should move forward.  Clearly, the first meeting with Dave Dorman was the right step forward.</w:t>
      </w:r>
    </w:p>
    <w:p>
      <w:pPr>
        <w:pStyle w:val="Heading1"/>
        <w:ind w:hanging="0" w:start="0"/>
        <w:rPr>
          <w:b/>
          <w:bCs/>
          <w:i w:val="false"/>
          <w:i w:val="false"/>
          <w:iCs w:val="false"/>
        </w:rPr>
      </w:pPr>
      <w:r>
        <w:rPr>
          <w:b/>
          <w:bCs/>
          <w:i w:val="false"/>
          <w:iCs w:val="false"/>
        </w:rPr>
      </w:r>
    </w:p>
    <w:p>
      <w:pPr>
        <w:pStyle w:val="Normal"/>
        <w:rPr/>
      </w:pPr>
      <w:r>
        <w:rPr/>
        <w:t>Below I have tried to answer three key questions, which I believe could provide the guidelines on how we could build the engagement process following the May 10</w:t>
      </w:r>
      <w:r>
        <w:rPr>
          <w:vertAlign w:val="superscript"/>
        </w:rPr>
        <w:t>th</w:t>
      </w:r>
      <w:r>
        <w:rPr/>
        <w:t xml:space="preserve"> meeting:</w:t>
      </w:r>
    </w:p>
    <w:p>
      <w:pPr>
        <w:pStyle w:val="Normal"/>
        <w:rPr/>
      </w:pPr>
      <w:r>
        <w:rPr/>
      </w:r>
    </w:p>
    <w:p>
      <w:pPr>
        <w:pStyle w:val="Normal"/>
        <w:numPr>
          <w:ilvl w:val="0"/>
          <w:numId w:val="2"/>
        </w:numPr>
        <w:rPr>
          <w:b/>
          <w:bCs/>
          <w:i/>
          <w:i/>
          <w:iCs/>
        </w:rPr>
      </w:pPr>
      <w:r>
        <w:rPr/>
        <w:t>Why deeper understanding of the AT&amp;T environment might help the future interface?</w:t>
      </w:r>
    </w:p>
    <w:p>
      <w:pPr>
        <w:pStyle w:val="Normal"/>
        <w:numPr>
          <w:ilvl w:val="0"/>
          <w:numId w:val="2"/>
        </w:numPr>
        <w:rPr>
          <w:b/>
          <w:bCs/>
          <w:i/>
          <w:i/>
          <w:iCs/>
        </w:rPr>
      </w:pPr>
      <w:r>
        <w:rPr/>
        <w:t>How can Enron’s efforts to engage AT&amp;T be further shaped?</w:t>
      </w:r>
    </w:p>
    <w:p>
      <w:pPr>
        <w:pStyle w:val="Normal"/>
        <w:numPr>
          <w:ilvl w:val="0"/>
          <w:numId w:val="2"/>
        </w:numPr>
        <w:rPr>
          <w:b/>
          <w:bCs/>
          <w:i/>
          <w:i/>
          <w:iCs/>
        </w:rPr>
      </w:pPr>
      <w:r>
        <w:rPr/>
        <w:t>How can we best move forward in capturing latent opportunities in large entrenched Telco’s?</w:t>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Normal"/>
        <w:rPr>
          <w:b/>
          <w:bCs/>
          <w:i/>
          <w:i/>
          <w:iCs/>
        </w:rPr>
      </w:pPr>
      <w:r>
        <w:rPr>
          <w:b/>
          <w:bCs/>
          <w:i/>
          <w:iCs/>
        </w:rPr>
      </w:r>
    </w:p>
    <w:p>
      <w:pPr>
        <w:pStyle w:val="Heading2"/>
        <w:ind w:hanging="0" w:start="0"/>
        <w:rPr/>
      </w:pPr>
      <w:r>
        <w:rPr/>
        <w:t>Why does understanding the AT&amp;T environment matter?</w:t>
      </w:r>
    </w:p>
    <w:p>
      <w:pPr>
        <w:pStyle w:val="Normal"/>
        <w:rPr/>
      </w:pPr>
      <w:r>
        <w:rPr/>
      </w:r>
    </w:p>
    <w:p>
      <w:pPr>
        <w:pStyle w:val="Normal"/>
        <w:rPr/>
      </w:pPr>
      <w:r>
        <w:rPr/>
        <w:t xml:space="preserve">As discussed with you, and as it became quite apparent from the meeting with Dave, we believe any approach should recognize that several internal groups control and direct bandwidth procurement, and that discussion with these groups should be framed in the context of the range of options available to them today. AT&amp;T’s operating scale and scope requires that a range of stakeholders be identified and engaged through a structured </w:t>
      </w:r>
      <w:r>
        <w:rPr>
          <w:u w:val="single"/>
        </w:rPr>
        <w:t>step-by-step approach</w:t>
      </w:r>
      <w:r>
        <w:rPr/>
        <w:t xml:space="preserve"> rather than focusing on a single individual.  While the Dave Dorman meeting will help us develop the overall framework of the engagement process, the specifics will need to be worked out in a stepped fashion with a number of different AT&amp;T executives.</w:t>
      </w:r>
    </w:p>
    <w:p>
      <w:pPr>
        <w:pStyle w:val="Normal"/>
        <w:rPr/>
      </w:pPr>
      <w:r>
        <w:rPr/>
      </w:r>
    </w:p>
    <w:p>
      <w:pPr>
        <w:pStyle w:val="Normal"/>
        <w:rPr/>
      </w:pPr>
      <w:r>
        <w:rPr/>
        <w:t>As you well know, while AT&amp;T is changing and leaders like Dave are providing fresh perspectives to the senior management, the organization as a whole is relatively conservative and has historically been reactive rather than proactive in its market approach.  Enron must ensure it fully understands the various organizational biases, and be prepared to address concerns AT&amp;T may have about the long range implications of stimulating a more efficient bandwidth market.  Taking the time to educate incumbents and helping them see the big picture will be important for full market participation and will benefit Enron, as efforts to engage incumbents become more efficient over time.</w:t>
      </w:r>
    </w:p>
    <w:p>
      <w:pPr>
        <w:pStyle w:val="Normal"/>
        <w:rPr/>
      </w:pPr>
      <w:r>
        <w:rPr/>
      </w:r>
    </w:p>
    <w:p>
      <w:pPr>
        <w:pStyle w:val="Normal"/>
        <w:rPr/>
      </w:pPr>
      <w:r>
        <w:rPr/>
        <w:t>It is not clear from our discussion how much of the problem you have sensed during earlier meetings with AT&amp;T is due to the size and complexity of the organization.  As you know, in large organizations there are lots of leaders with different points of view.  These tend to coexist and act as a drag on the speed of decision making.  Our effort must be sensitive to these differing points of view, which are sometimes out of synch with each other.  Any approach to build on our dialogue with Dave has to build consensus and needs to be very structured and documented.  We believe that this may be an important factor as we embark on our joint journey through the organization.  One of Enron’s key objectives should be to put in place a structure to manage this synchronization between various parts of the organization.  Keep in mind that this dynamic exists in other Telco’s as well.  Our team looks forward to working with you to manage this process, and build on the AT&amp;T experience to cultivate larger Telco’s worldwide.</w:t>
      </w:r>
    </w:p>
    <w:p>
      <w:pPr>
        <w:pStyle w:val="Normal"/>
        <w:rPr/>
      </w:pPr>
      <w:r>
        <w:rPr/>
      </w:r>
    </w:p>
    <w:p>
      <w:pPr>
        <w:pStyle w:val="Normal"/>
        <w:rPr/>
      </w:pPr>
      <w:r>
        <w:rPr/>
      </w:r>
    </w:p>
    <w:p>
      <w:pPr>
        <w:pStyle w:val="Heading2"/>
        <w:ind w:hanging="0" w:start="0"/>
        <w:rPr/>
      </w:pPr>
      <w:r>
        <w:rPr/>
        <w:t>How can Enron’s efforts to engage AT&amp;T be further shaped?</w:t>
      </w:r>
    </w:p>
    <w:p>
      <w:pPr>
        <w:pStyle w:val="Normal"/>
        <w:rPr/>
      </w:pPr>
      <w:r>
        <w:rPr/>
      </w:r>
    </w:p>
    <w:p>
      <w:pPr>
        <w:pStyle w:val="Normal"/>
        <w:rPr/>
      </w:pPr>
      <w:r>
        <w:rPr/>
        <w:t>While consistent with Enron’s long-range view of the world your team’s description of both the tone and substance of its previous interactions and meetings with AT&amp;T suggest to us that there remains a sizable gap between the two mind-sets.  The Enron team is anxious to move forward and has strongly held beliefs about the Enron value proposition.  AT&amp;T also has strongly held beliefs rooted in a history of playing by its own rules. Regardless of how we may view these beliefs they are real and shape the thinking of people inside the organization.  With Dorman’s positive and forward-looking perspective we should quickly move to iron out the issues that have already been raised.</w:t>
      </w:r>
    </w:p>
    <w:p>
      <w:pPr>
        <w:pStyle w:val="Normal"/>
        <w:rPr/>
      </w:pPr>
      <w:r>
        <w:rPr/>
      </w:r>
    </w:p>
    <w:p>
      <w:pPr>
        <w:pStyle w:val="Normal"/>
        <w:rPr/>
      </w:pPr>
      <w:r>
        <w:rPr/>
        <w:t>We have seen this before as to how incumbents like AT&amp;T have reacted to the increased pace in technological developments and customer expectations.  Initially they view change as threatening and don’t always recognize the forces of change are already upon them. This may require Enron to be just as “anxious” to educate and influence, as it is to transact.  Our experience indicates that once consensus and traction has been established AT&amp;T is willing to make major commitments.  For example, AT&amp;T’s purchase pf TCG for $13B, and subsequent investment of $70B investment in cable, and its seriousness in outsourcing portions of its core network, all represent a willingness to take dramatic steps to address strategic gaps.</w:t>
      </w:r>
    </w:p>
    <w:p>
      <w:pPr>
        <w:pStyle w:val="Normal"/>
        <w:rPr/>
      </w:pPr>
      <w:r>
        <w:rPr/>
      </w:r>
    </w:p>
    <w:p>
      <w:pPr>
        <w:pStyle w:val="Normal"/>
        <w:rPr/>
      </w:pPr>
      <w:r>
        <w:rPr/>
        <w:t xml:space="preserve">We understand, to date Enron’s efforts to engage AT&amp;T has been limited to the network organization (Frank Ianna).  As discussed, we believe it is vital to extend the range and scope of interaction to the financial community and senior managers with P&amp;L responsibility.  Building on Dave Dorman’s commitment to work with Enron it is extremely important that we help him in enabling AT&amp;T understand the big picture.  </w:t>
      </w:r>
    </w:p>
    <w:p>
      <w:pPr>
        <w:pStyle w:val="Normal"/>
        <w:rPr/>
      </w:pPr>
      <w:r>
        <w:rPr/>
      </w:r>
    </w:p>
    <w:p>
      <w:pPr>
        <w:pStyle w:val="Normal"/>
        <w:rPr/>
      </w:pPr>
      <w:r>
        <w:rPr/>
        <w:t xml:space="preserve">In terms of approach, the tone of your team’s discussion suggests that during the earlier meetings AT&amp;T might have felt Enron has an agenda.  In our meeting last week Paul was straightforward in articulating Enron’s goals to drive more transparency, delivery certainty, flexible and enforceable contracts and timely delivery into the marketplace.  It is easy to sense how someone within AT&amp;T, as an incumbent carrier, could be threatened by such a message, which strikes at the heart of some of its most glaring weaknesses.  </w:t>
      </w:r>
    </w:p>
    <w:p>
      <w:pPr>
        <w:pStyle w:val="Normal"/>
        <w:rPr/>
      </w:pPr>
      <w:r>
        <w:rPr/>
      </w:r>
    </w:p>
    <w:p>
      <w:pPr>
        <w:pStyle w:val="Normal"/>
        <w:rPr/>
      </w:pPr>
      <w:r>
        <w:rPr/>
      </w:r>
    </w:p>
    <w:p>
      <w:pPr>
        <w:pStyle w:val="Heading2"/>
        <w:ind w:hanging="0" w:start="0"/>
        <w:rPr/>
      </w:pPr>
      <w:r>
        <w:rPr/>
        <w:t>How to move forward with AT&amp;T?</w:t>
      </w:r>
    </w:p>
    <w:p>
      <w:pPr>
        <w:pStyle w:val="Normal"/>
        <w:tabs>
          <w:tab w:val="clear" w:pos="720"/>
          <w:tab w:val="left" w:pos="3240" w:leader="none"/>
        </w:tabs>
        <w:rPr/>
      </w:pPr>
      <w:r>
        <w:rPr/>
      </w:r>
    </w:p>
    <w:p>
      <w:pPr>
        <w:pStyle w:val="Normal"/>
        <w:tabs>
          <w:tab w:val="clear" w:pos="720"/>
          <w:tab w:val="left" w:pos="3240" w:leader="none"/>
        </w:tabs>
        <w:rPr/>
      </w:pPr>
      <w:r>
        <w:rPr/>
        <w:t xml:space="preserve">We believe, and it became clear after the meeting with Dave, there is a range of options for how Enron could work with AT&amp;T.  But penetrating different parts of the organization through different pathways should be accompanied by different game plans instead of a monolithic approach.  This is especially important in an organization of the size of AT&amp;T where there are many leaders, with many different points of view, and the potential opportunity associated with a single internal organization (i.e. wholesale segment management, access management, etc.) can easily exceed the deal volume of a smaller carrier.  </w:t>
      </w:r>
    </w:p>
    <w:p>
      <w:pPr>
        <w:pStyle w:val="Normal"/>
        <w:rPr/>
      </w:pPr>
      <w:r>
        <w:rPr/>
      </w:r>
    </w:p>
    <w:p>
      <w:pPr>
        <w:pStyle w:val="Normal"/>
        <w:rPr/>
      </w:pPr>
      <w:r>
        <w:rPr/>
        <w:t>For example, by recognizing that the concept of risk management may lead to different conclusions to different individuals, Enron can tailor both how it educates and how “sells” its message for different parts of the organization.  Sales management may be concerned with managing the risk associated with not meeting it’s sales forecast, and therefore have interest in selling excess network capacity, while the network organization may be concerned with the risks associated with uncertain delivery from outside suppliers. Product management may be concerned with the risks associated with “time to market” while senior management may be concerned about managing the risks associated with  “locking in” cost structures in the face price declines and the need to upgrade the network to deliver new capability.</w:t>
      </w:r>
    </w:p>
    <w:p>
      <w:pPr>
        <w:pStyle w:val="Normal"/>
        <w:rPr/>
      </w:pPr>
      <w:r>
        <w:rPr/>
      </w:r>
    </w:p>
    <w:p>
      <w:pPr>
        <w:pStyle w:val="Normal"/>
        <w:rPr/>
      </w:pPr>
      <w:r>
        <w:rPr/>
        <w:t>Each scenario represents an opportunity for Enron to tell the risk management story from a different perspective.  The wrong perspective to the wrong audience can have disastrous results.  Even if AT&amp;T were to agree to a big step forward in embracing the Enron business model this is precisely why a multiple team highly structured approach may ultimately be the most effective way forward.</w:t>
      </w:r>
    </w:p>
    <w:p>
      <w:pPr>
        <w:pStyle w:val="Normal"/>
        <w:rPr/>
      </w:pPr>
      <w:r>
        <w:rPr/>
      </w:r>
    </w:p>
    <w:p>
      <w:pPr>
        <w:pStyle w:val="Normal"/>
        <w:rPr/>
      </w:pPr>
      <w:r>
        <w:rPr/>
        <w:t xml:space="preserve">Dave’s openness and willingness to explore various operational and asset based options with Enron is evident and clear.  Developing solutions to address the access bottleneck in the industry would also resonate with AT&amp;T. We have a relationship with IBM that may prove helpful in this area. However, do understand that this is just the beginning of a process likely to require a lot of additional meetings with other players, with messages tailored for each.  Enron can view such a structured approach as an obstacle or an opportunity to gain deep insights into how large established carriers tend to function and make decisions.  This insight could prove extremely valuable in approaching the whole range of “large incumbent” carriers as Enron seeks to develop the marketplace both in North America and across the globe.  Hence, time spent on meetings and developing materials for AT&amp;T may prove to have a long shelf life indeed. </w:t>
      </w:r>
    </w:p>
    <w:p>
      <w:pPr>
        <w:pStyle w:val="Normal"/>
        <w:rPr/>
      </w:pPr>
      <w:r>
        <w:rPr/>
      </w:r>
    </w:p>
    <w:p>
      <w:pPr>
        <w:pStyle w:val="Normal"/>
        <w:rPr/>
      </w:pPr>
      <w:r>
        <w:rPr/>
      </w:r>
    </w:p>
    <w:p>
      <w:pPr>
        <w:pStyle w:val="Normal"/>
        <w:rPr>
          <w:rFonts w:ascii="Garamond" w:hAnsi="Garamond" w:cs="Garamond"/>
          <w:color w:val="000000"/>
          <w:sz w:val="18"/>
          <w:szCs w:val="18"/>
        </w:rPr>
      </w:pPr>
      <w:r>
        <w:rPr/>
        <w:t>With our professional relationships with over two-dozen carriers worldwide we would be delighted to work with you to roll out a game plan born out of the AT&amp;T experience.  In fact, we would suggest Enron pursue a parallel approach now, and develop account blueprints on a sector-by-sector basis.  For example, approaching several large carriers in parallel, in a structured manner, can accelerate Enron’s learning and create a “Quasi” competitive environment, which encourages each major player not to be outdone by a rival.</w:t>
      </w:r>
    </w:p>
    <w:p>
      <w:pPr>
        <w:pStyle w:val="Normal"/>
        <w:rPr>
          <w:rFonts w:ascii="Garamond" w:hAnsi="Garamond" w:cs="Garamond"/>
          <w:vanish/>
          <w:color w:val="000000"/>
          <w:sz w:val="18"/>
          <w:szCs w:val="18"/>
        </w:rPr>
      </w:pPr>
      <w:r>
        <w:rPr>
          <w:rFonts w:cs="Garamond" w:ascii="Garamond" w:hAnsi="Garamond"/>
          <w:vanish/>
          <w:color w:val="000000"/>
          <w:sz w:val="18"/>
          <w:szCs w:val="18"/>
        </w:rPr>
      </w:r>
    </w:p>
    <w:p>
      <w:pPr>
        <w:pStyle w:val="Normal"/>
        <w:rPr>
          <w:vanish/>
          <w:color w:val="000000"/>
        </w:rPr>
      </w:pPr>
      <w:r>
        <w:rPr>
          <w:vanish/>
          <w:color w:val="000000"/>
        </w:rPr>
      </w:r>
    </w:p>
    <w:p>
      <w:pPr>
        <w:pStyle w:val="Normal"/>
        <w:rPr/>
      </w:pPr>
      <w:r>
        <w:rPr/>
        <w:t>Given the size of the opportunity, positive vive from the President of AT&amp;T (because of the background work we have done with AT&amp;T in preparation for the meeting) we need to increase our own resource commitment behind this initiative. However, until I hear your thoughts on how we expand the scope of our engagement, I will maintain the current team to begin developing a range of value propositions, which Enron could offer to the various organizational units within AT&amp;T.</w:t>
      </w:r>
    </w:p>
    <w:p>
      <w:pPr>
        <w:pStyle w:val="Normal"/>
        <w:rPr/>
      </w:pPr>
      <w:r>
        <w:rPr/>
      </w:r>
    </w:p>
    <w:p>
      <w:pPr>
        <w:pStyle w:val="Normal"/>
        <w:rPr/>
      </w:pPr>
      <w:r>
        <w:rPr/>
        <w:t>Sincerely Yours</w:t>
      </w:r>
    </w:p>
    <w:p>
      <w:pPr>
        <w:pStyle w:val="Normal"/>
        <w:rPr/>
      </w:pPr>
      <w:r>
        <w:rPr/>
        <w:drawing>
          <wp:inline distT="0" distB="0" distL="0" distR="0">
            <wp:extent cx="1715770" cy="494665"/>
            <wp:effectExtent l="0" t="0" r="0" b="0"/>
            <wp:docPr id="1" name="PGhos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hosh" descr="" title=""/>
                    <pic:cNvPicPr>
                      <a:picLocks noChangeAspect="1" noChangeArrowheads="1"/>
                    </pic:cNvPicPr>
                  </pic:nvPicPr>
                  <pic:blipFill>
                    <a:blip r:embed="rId2"/>
                    <a:srcRect l="-8" t="-16" r="-8" b="-16"/>
                    <a:stretch>
                      <a:fillRect/>
                    </a:stretch>
                  </pic:blipFill>
                  <pic:spPr bwMode="auto">
                    <a:xfrm>
                      <a:off x="0" y="0"/>
                      <a:ext cx="1715770" cy="494665"/>
                    </a:xfrm>
                    <a:prstGeom prst="rect">
                      <a:avLst/>
                    </a:prstGeom>
                    <a:noFill/>
                  </pic:spPr>
                </pic:pic>
              </a:graphicData>
            </a:graphic>
          </wp:inline>
        </w:drawing>
      </w:r>
    </w:p>
    <w:p>
      <w:pPr>
        <w:pStyle w:val="Normal"/>
        <w:rPr/>
      </w:pPr>
      <w:r>
        <w:rPr/>
      </w:r>
    </w:p>
    <w:p>
      <w:pPr>
        <w:pStyle w:val="Normal"/>
        <w:rPr/>
      </w:pPr>
      <w:r>
        <w:rPr/>
      </w:r>
    </w:p>
    <w:p>
      <w:pPr>
        <w:pStyle w:val="Normal"/>
        <w:rPr/>
      </w:pPr>
      <w:r>
        <w:rPr/>
        <w:t>Partha S. Ghosh</w:t>
      </w:r>
    </w:p>
    <w:p>
      <w:pPr>
        <w:pStyle w:val="Normal"/>
        <w:rPr/>
      </w:pPr>
      <w:r>
        <w:rPr/>
      </w:r>
    </w:p>
    <w:p>
      <w:pPr>
        <w:pStyle w:val="Normal"/>
        <w:rPr/>
      </w:pPr>
      <w:r>
        <w:rPr/>
      </w:r>
    </w:p>
    <w:p>
      <w:pPr>
        <w:pStyle w:val="Normal"/>
        <w:rPr/>
      </w:pPr>
      <w:r>
        <w:rPr/>
        <w:t xml:space="preserve">Cc: </w:t>
        <w:tab/>
        <w:t>Mr. Jeff Skilling</w:t>
      </w:r>
    </w:p>
    <w:p>
      <w:pPr>
        <w:pStyle w:val="Normal"/>
        <w:ind w:firstLine="720" w:end="0"/>
        <w:rPr/>
      </w:pPr>
      <w:r>
        <w:rPr/>
        <w:t xml:space="preserve">CEO &amp; President, </w:t>
      </w:r>
    </w:p>
    <w:p>
      <w:pPr>
        <w:pStyle w:val="Normal"/>
        <w:ind w:firstLine="720" w:end="0"/>
        <w:rPr/>
      </w:pPr>
      <w:r>
        <w:rPr/>
        <w:t>Enron Corporation</w:t>
      </w:r>
    </w:p>
    <w:sectPr>
      <w:headerReference w:type="default" r:id="rId3"/>
      <w:headerReference w:type="first" r:id="rId4"/>
      <w:type w:val="nextPage"/>
      <w:pgSz w:w="12240" w:h="15840"/>
      <w:pgMar w:left="1800" w:right="1800" w:gutter="0" w:header="720" w:top="162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firstLine="360" w:end="0"/>
      <w:rPr/>
    </w:pPr>
    <w:r>
      <w:rPr/>
    </w:r>
    <w:r>
      <mc:AlternateContent>
        <mc:Choice Requires="wps">
          <w:drawing>
            <wp:anchor behindDoc="0" distT="0" distB="0" distL="0" distR="0" simplePos="0" locked="0" layoutInCell="0" allowOverlap="1" relativeHeight="6">
              <wp:simplePos x="0" y="0"/>
              <wp:positionH relativeFrom="margin">
                <wp:align>left</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0pt;mso-position-horizontal:left;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Header"/>
      <w:rPr/>
    </w:pPr>
    <w:r>
      <w:rPr/>
      <w:t>Mr. Ken Rice</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sz w:val="24"/>
        <w:i w:val="false"/>
        <w:b w:val="false"/>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i/>
      <w:iCs/>
    </w:rPr>
  </w:style>
  <w:style w:type="paragraph" w:styleId="Heading2">
    <w:name w:val="heading 2"/>
    <w:basedOn w:val="Normal"/>
    <w:next w:val="Normal"/>
    <w:qFormat/>
    <w:pPr>
      <w:keepNext w:val="true"/>
      <w:numPr>
        <w:ilvl w:val="1"/>
        <w:numId w:val="1"/>
      </w:numPr>
      <w:outlineLvl w:val="1"/>
    </w:pPr>
    <w:rPr>
      <w:b/>
      <w:bCs/>
      <w:i/>
      <w:iCs/>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style>
  <w:style w:type="character" w:styleId="WW8Num2z0">
    <w:name w:val="WW8Num2z0"/>
    <w:qFormat/>
    <w:rPr>
      <w:b w:val="false"/>
      <w:i w:val="false"/>
      <w:sz w:val="24"/>
    </w:rPr>
  </w:style>
  <w:style w:type="character" w:styleId="WW8Num6z0">
    <w:name w:val="WW8Num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2001-05-11T14:13:00Z</dcterms:created>
  <dc:creator>Corporate User</dc:creator>
  <dc:description/>
  <dc:language>en-CA</dc:language>
  <cp:lastModifiedBy>Michelle Sheehan</cp:lastModifiedBy>
  <cp:lastPrinted>2001-05-11T13:52:00Z</cp:lastPrinted>
  <dcterms:modified xsi:type="dcterms:W3CDTF">2001-05-11T15:40:00Z</dcterms:modified>
  <cp:revision>7</cp:revision>
  <dc:subject/>
  <dc:title>Partha’s note</dc:title>
</cp:coreProperties>
</file>