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bookmarkStart w:id="0" w:name="a1"/>
      <w:r>
        <w:rPr/>
        <w:t>Craig R. Enochs</w:t>
      </w:r>
      <w:bookmarkEnd w:id="0"/>
    </w:p>
    <w:p>
      <w:pPr>
        <w:pStyle w:val="Normal"/>
        <w:rPr/>
      </w:pPr>
      <w:r>
        <w:rPr/>
        <w:t>Pinnacle Executive Group, Inc.</w:t>
      </w:r>
    </w:p>
    <w:p>
      <w:pPr>
        <w:pStyle w:val="Normal"/>
        <w:rPr/>
      </w:pPr>
      <w:r>
        <w:rPr/>
        <w:t>609 NE 291 Hwy, Suite 350</w:t>
      </w:r>
    </w:p>
    <w:p>
      <w:pPr>
        <w:pStyle w:val="Normal"/>
        <w:rPr/>
      </w:pPr>
      <w:r>
        <w:rPr/>
        <w:t>Lee’s Summit, Missouri 64086</w:t>
      </w:r>
    </w:p>
    <w:p>
      <w:pPr>
        <w:pStyle w:val="Normal"/>
        <w:rPr/>
      </w:pPr>
      <w:r>
        <w:rPr/>
        <w:t>816-524-4696 phone</w:t>
      </w:r>
    </w:p>
    <w:p>
      <w:pPr>
        <w:pStyle w:val="Normal"/>
        <w:rPr/>
      </w:pPr>
      <w:hyperlink r:id="rId2">
        <w:r>
          <w:rPr>
            <w:rStyle w:val="Hyperlink"/>
          </w:rPr>
          <w:t>scott@pinnaclexec.com</w:t>
        </w:r>
      </w:hyperlink>
    </w:p>
    <w:p>
      <w:pPr>
        <w:pStyle w:val="Normal"/>
        <w:rPr/>
      </w:pPr>
      <w:r>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lang w:val="en-CA" w:eastAsia="en-CA"/>
        </w:rPr>
      </w:pPr>
      <w:r>
        <w:rPr>
          <w:sz w:val="20"/>
          <w:lang w:val="en-CA" w:eastAsia="en-CA"/>
        </w:rPr>
        <mc:AlternateContent>
          <mc:Choice Requires="wps">
            <w:drawing>
              <wp:anchor behindDoc="1" distT="0" distB="0" distL="114935" distR="114935" simplePos="0" locked="0" layoutInCell="0" allowOverlap="1" relativeHeight="2">
                <wp:simplePos x="0" y="0"/>
                <wp:positionH relativeFrom="page">
                  <wp:posOffset>914400</wp:posOffset>
                </wp:positionH>
                <wp:positionV relativeFrom="paragraph">
                  <wp:posOffset>635</wp:posOffset>
                </wp:positionV>
                <wp:extent cx="5943600" cy="635"/>
                <wp:effectExtent l="0" t="635" r="0" b="0"/>
                <wp:wrapNone/>
                <wp:docPr id="1" name=""/>
                <a:graphic xmlns:a="http://schemas.openxmlformats.org/drawingml/2006/main">
                  <a:graphicData uri="http://schemas.microsoft.com/office/word/2010/wordprocessingShape">
                    <wps:wsp>
                      <wps:cNvSpPr/>
                      <wps:spPr>
                        <a:xfrm>
                          <a:off x="0" y="0"/>
                          <a:ext cx="5943600" cy="7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pt;mso-wrap-style:none;v-text-anchor:middle;mso-position-horizontal-relative:page">
                <v:fill o:detectmouseclick="t" type="solid" color2="white"/>
                <v:stroke color="#3465a4" joinstyle="round" endcap="flat"/>
                <w10:wrap type="none"/>
              </v:rect>
            </w:pict>
          </mc:Fallback>
        </mc:AlternateConten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sz w:val="20"/>
        </w:rPr>
      </w:pPr>
      <w:r>
        <w:rPr>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spacing w:lineRule="exact" w:line="1"/>
        <w:rPr/>
      </w:pPr>
      <w:r>
        <w:rPr/>
        <w:t>Experience</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mallCaps/>
          <w:sz w:val="26"/>
        </w:rPr>
      </w:pPr>
      <w:r>
        <w:rPr>
          <w:smallCaps/>
          <w:sz w:val="26"/>
        </w:rPr>
        <w:t>EXPERIENCE</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pPr>
      <w:r>
        <w:fldChar w:fldCharType="begin"/>
      </w:r>
      <w:r>
        <w:rPr>
          <w:smallCaps/>
          <w:sz w:val="26"/>
        </w:rPr>
        <w:instrText xml:space="preserve">ADVANCE \d8</w:instrText>
      </w:r>
      <w:r>
        <w:rPr>
          <w:smallCaps/>
          <w:sz w:val="26"/>
        </w:rPr>
      </w:r>
      <w:r>
        <w:rPr>
          <w:smallCaps/>
          <w:sz w:val="26"/>
        </w:rPr>
        <w:fldChar w:fldCharType="separate"/>
      </w:r>
      <w:r>
        <w:rPr>
          <w:smallCaps/>
          <w:sz w:val="26"/>
        </w:rPr>
      </w:r>
      <w:r>
        <w:rPr>
          <w:smallCaps/>
          <w:sz w:val="26"/>
        </w:rPr>
      </w:r>
      <w:r>
        <w:rPr>
          <w:smallCaps/>
          <w:sz w:val="26"/>
        </w:rPr>
        <w:fldChar w:fldCharType="end"/>
      </w:r>
      <w:r>
        <w:rPr>
          <w:smallCaps/>
          <w:sz w:val="20"/>
        </w:rPr>
        <w:t>TXU Energy Trading Company, formerly known as Enserch Energy Services, Inc.</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mallCaps/>
          <w:sz w:val="22"/>
        </w:rPr>
      </w:pPr>
      <w:r>
        <mc:AlternateContent>
          <mc:Choice Requires="wps">
            <w:drawing>
              <wp:anchor behindDoc="1" distT="0" distB="0" distL="114935" distR="114935" simplePos="0" locked="0" layoutInCell="0" allowOverlap="1" relativeHeight="3">
                <wp:simplePos x="0" y="0"/>
                <wp:positionH relativeFrom="page">
                  <wp:posOffset>1828800</wp:posOffset>
                </wp:positionH>
                <wp:positionV relativeFrom="paragraph">
                  <wp:posOffset>635</wp:posOffset>
                </wp:positionV>
                <wp:extent cx="4800600" cy="635"/>
                <wp:effectExtent l="0" t="635" r="0" b="0"/>
                <wp:wrapNone/>
                <wp:docPr id="2" name=""/>
                <a:graphic xmlns:a="http://schemas.openxmlformats.org/drawingml/2006/main">
                  <a:graphicData uri="http://schemas.microsoft.com/office/word/2010/wordprocessingShape">
                    <wps:wsp>
                      <wps:cNvSpPr/>
                      <wps:spPr>
                        <a:xfrm>
                          <a:off x="0" y="0"/>
                          <a:ext cx="4800600" cy="7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44pt;margin-top:0pt;width:377.95pt;height:0pt;mso-wrap-style:none;v-text-anchor:middle;mso-position-horizontal-relative:page">
                <v:fill o:detectmouseclick="t" type="solid" color2="white"/>
                <v:stroke color="#3465a4" joinstyle="round" endcap="flat"/>
                <w10:wrap type="none"/>
              </v:rect>
            </w:pict>
          </mc:Fallback>
        </mc:AlternateContent>
      </w:r>
      <w:r>
        <w:rPr>
          <w:i/>
          <w:sz w:val="22"/>
        </w:rPr>
        <w:t>Attorney, December 1998 – Present</w:t>
      </w:r>
    </w:p>
    <w:p>
      <w:pPr>
        <w:pStyle w:val="Style13"/>
        <w:numPr>
          <w:ilvl w:val="0"/>
          <w:numId w:val="2"/>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Provided legal counsel to management and staff in all phases of natural gas and electricity marketing, supply and transportation, and in trading and risk management utilizing various types of physical and derivative financial instruments.</w:t>
      </w:r>
    </w:p>
    <w:p>
      <w:pPr>
        <w:pStyle w:val="Style13"/>
        <w:numPr>
          <w:ilvl w:val="0"/>
          <w:numId w:val="2"/>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Advised internal clients of current federal and state regulations and requirements regarding natural gas and power.</w:t>
      </w:r>
    </w:p>
    <w:p>
      <w:pPr>
        <w:pStyle w:val="Style13"/>
        <w:numPr>
          <w:ilvl w:val="0"/>
          <w:numId w:val="2"/>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 xml:space="preserve">Drafted, reviewed, and negotiated both wholesale and retail U.S. and Canadian energy marketing agreements including: </w:t>
      </w:r>
    </w:p>
    <w:p>
      <w:pPr>
        <w:sectPr>
          <w:type w:val="nextPage"/>
          <w:pgSz w:w="12240" w:h="15840"/>
          <w:pgMar w:left="1296" w:right="1296" w:gutter="0" w:header="0" w:top="1296" w:footer="0" w:bottom="1296"/>
          <w:pgNumType w:fmt="decimal"/>
          <w:formProt w:val="false"/>
          <w:textDirection w:val="lrTb"/>
          <w:docGrid w:type="default" w:linePitch="360" w:charSpace="0"/>
        </w:sectPr>
      </w:pP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Gas Purchase and Sale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Power Purchase and Sale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 xml:space="preserve">Power Sales Agreements </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 xml:space="preserve">Power Sales Tariffs </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Power Open Access Transmission Tariffs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Power Retail Sales Tariffs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Power Supplemental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GISB’s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ISDA’s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Interchange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Hub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Pooling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Injection</w:t>
      </w:r>
      <w:r>
        <w:rPr>
          <w:smallCaps/>
          <w:sz w:val="22"/>
        </w:rPr>
        <w:t xml:space="preserve">, </w:t>
      </w:r>
      <w:r>
        <w:rPr>
          <w:sz w:val="22"/>
        </w:rPr>
        <w:t>Storage and Withdrawal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Energy Management Services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Consolidated Billing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Confidentiality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Netting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Retail Gas Broker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Retail Gas Sales Agreements</w:t>
      </w:r>
    </w:p>
    <w:p>
      <w:pPr>
        <w:pStyle w:val="Style13"/>
        <w:numPr>
          <w:ilvl w:val="0"/>
          <w:numId w:val="7"/>
        </w:numPr>
        <w:tabs>
          <w:tab w:val="left" w:pos="-1440" w:leader="none"/>
          <w:tab w:val="left" w:pos="-960" w:leader="none"/>
          <w:tab w:val="left" w:pos="-482" w:leader="none"/>
          <w:tab w:val="left" w:pos="-2" w:leader="none"/>
          <w:tab w:val="left" w:pos="477" w:leader="none"/>
          <w:tab w:val="left" w:pos="720"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720" w:end="360"/>
        <w:jc w:val="both"/>
        <w:rPr>
          <w:sz w:val="22"/>
        </w:rPr>
      </w:pPr>
      <w:r>
        <w:rPr>
          <w:sz w:val="22"/>
        </w:rPr>
        <w:t>Guarantees.</w:t>
      </w:r>
    </w:p>
    <w:p>
      <w:pPr>
        <w:sectPr>
          <w:type w:val="continuous"/>
          <w:pgSz w:w="12240" w:h="15840"/>
          <w:pgMar w:left="1296" w:right="1296" w:gutter="0" w:header="0" w:top="1296" w:footer="0" w:bottom="1296"/>
          <w:cols w:num="2" w:space="720" w:equalWidth="true" w:sep="false"/>
          <w:formProt w:val="false"/>
          <w:textDirection w:val="lrTb"/>
          <w:docGrid w:type="default" w:linePitch="360" w:charSpace="0"/>
        </w:sectPr>
      </w:pP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sz w:val="22"/>
        </w:rPr>
      </w:pPr>
      <w:r>
        <w:rPr>
          <w:sz w:val="22"/>
        </w:rPr>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z w:val="22"/>
        </w:rPr>
      </w:pPr>
      <w:r>
        <w:rPr>
          <w:sz w:val="22"/>
        </w:rPr>
        <w:t>Drafted and coordinated the revision of the U.S. and Canadian Gas Master Purchase and Sale Agreements, GISB Special Provisions, and Forms of Confirmation.</w:t>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mallCaps/>
          <w:sz w:val="22"/>
        </w:rPr>
      </w:pPr>
      <w:r>
        <w:rPr>
          <w:sz w:val="22"/>
        </w:rPr>
        <w:t xml:space="preserve">Drafted and secured U.S. Gas Export Licenses, Canadian Gas Export Licenses, Canadian Provincial Energy Removal Authorizations, and U.S. Power Export Licenses. </w:t>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mallCaps/>
          <w:sz w:val="22"/>
        </w:rPr>
      </w:pPr>
      <w:r>
        <w:rPr>
          <w:sz w:val="22"/>
        </w:rPr>
        <w:t>Experience with Canadian and U. S. import/export regulations, including those promulgated by the U.S. Department of Energy</w:t>
      </w:r>
      <w:r>
        <w:rPr>
          <w:smallCaps/>
          <w:sz w:val="22"/>
        </w:rPr>
        <w:t xml:space="preserve">, </w:t>
      </w:r>
      <w:r>
        <w:rPr>
          <w:sz w:val="22"/>
        </w:rPr>
        <w:t>the Canadian National Energy Board, and the provinces of Alberta, British Columbia, Ontario, Saskatchewan, Nova Scotia, and the Northwest Territories.</w:t>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mallCaps/>
          <w:sz w:val="22"/>
        </w:rPr>
      </w:pPr>
      <w:r>
        <w:rPr>
          <w:sz w:val="22"/>
        </w:rPr>
        <w:t>Experience with various bankruptcy issues as they relate to energy marketing.</w:t>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z w:val="22"/>
        </w:rPr>
      </w:pPr>
      <w:r>
        <w:rPr>
          <w:sz w:val="22"/>
        </w:rPr>
        <w:t>Experience with WMBE agreements, practices and issues.</w:t>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z w:val="22"/>
        </w:rPr>
      </w:pPr>
      <w:r>
        <w:rPr>
          <w:sz w:val="22"/>
        </w:rPr>
        <w:t>Trained and coordinated the efforts of Contract Administration, Accounting Department and Credit Department personnel in gas and power issues.</w:t>
      </w:r>
    </w:p>
    <w:p>
      <w:pPr>
        <w:pStyle w:val="Style13"/>
        <w:numPr>
          <w:ilvl w:val="0"/>
          <w:numId w:val="3"/>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rPr>
          <w:sz w:val="22"/>
        </w:rPr>
      </w:pPr>
      <w:r>
        <w:rPr>
          <w:sz w:val="22"/>
        </w:rPr>
        <w:t xml:space="preserve">Represented TXU Energy Trading Company in various types of legal proceedings, including supervision of outside counsel, court hearings, arbitration, and discovery. </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mallCaps/>
          <w:sz w:val="20"/>
        </w:rPr>
      </w:pPr>
      <w:r>
        <w:rPr>
          <w:smallCaps/>
          <w:sz w:val="20"/>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mallCaps/>
          <w:sz w:val="22"/>
        </w:rPr>
      </w:pPr>
      <w:r>
        <w:rPr>
          <w:smallCaps/>
          <w:sz w:val="22"/>
        </w:rPr>
        <w:t>Enochs &amp; Geers</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i/>
          <w:i/>
          <w:smallCaps/>
          <w:sz w:val="22"/>
        </w:rPr>
      </w:pPr>
      <w:r>
        <w:rPr>
          <w:i/>
          <w:sz w:val="22"/>
        </w:rPr>
        <w:t>Partner, September 1997 - December 1998</w:t>
      </w:r>
    </w:p>
    <w:p>
      <w:pPr>
        <w:pStyle w:val="Style13"/>
        <w:numPr>
          <w:ilvl w:val="0"/>
          <w:numId w:val="5"/>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Reviewed and evaluated energy marketing agreements.</w:t>
      </w:r>
    </w:p>
    <w:p>
      <w:pPr>
        <w:pStyle w:val="Style13"/>
        <w:numPr>
          <w:ilvl w:val="0"/>
          <w:numId w:val="5"/>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Principal practice work in energy marketing agreements and commercial litigation.</w:t>
      </w:r>
    </w:p>
    <w:p>
      <w:pPr>
        <w:pStyle w:val="Style13"/>
        <w:numPr>
          <w:ilvl w:val="0"/>
          <w:numId w:val="5"/>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First chair trial experience.</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mallCaps/>
          <w:sz w:val="22"/>
        </w:rPr>
      </w:pPr>
      <w:r>
        <w:rPr>
          <w:smallCaps/>
          <w:sz w:val="22"/>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z w:val="22"/>
        </w:rPr>
      </w:pPr>
      <w:r>
        <w:rPr>
          <w:smallCaps/>
          <w:sz w:val="22"/>
        </w:rPr>
        <w:t>Haynes &amp; Boone, L.L.P.</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z w:val="22"/>
        </w:rPr>
      </w:pPr>
      <w:r>
        <w:rPr>
          <w:i/>
          <w:sz w:val="22"/>
        </w:rPr>
        <w:t>Summer Associate, Summer 1996</w:t>
      </w:r>
    </w:p>
    <w:p>
      <w:pPr>
        <w:pStyle w:val="Section"/>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start="0" w:end="360"/>
        <w:jc w:val="both"/>
        <w:rPr>
          <w:caps w:val="false"/>
          <w:smallCaps w:val="false"/>
          <w:sz w:val="20"/>
        </w:rPr>
      </w:pPr>
      <w:r>
        <w:rPr>
          <w:caps w:val="false"/>
          <w:smallCaps w:val="false"/>
          <w:sz w:val="20"/>
        </w:rPr>
      </w:r>
    </w:p>
    <w:p>
      <w:pPr>
        <w:pStyle w:val="Section"/>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start="0" w:end="360"/>
        <w:jc w:val="both"/>
        <w:rPr/>
      </w:pPr>
      <w:r>
        <w:rPr/>
        <w:t>Education</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mallCaps/>
          <w:sz w:val="22"/>
        </w:rPr>
      </w:pPr>
      <w:r>
        <w:rPr>
          <w:smallCaps/>
          <w:sz w:val="22"/>
        </w:rPr>
        <w:t>Hastings College of the Law</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z w:val="22"/>
        </w:rPr>
      </w:pPr>
      <w:r>
        <mc:AlternateContent>
          <mc:Choice Requires="wps">
            <w:drawing>
              <wp:anchor behindDoc="1" distT="0" distB="0" distL="114935" distR="114935" simplePos="0" locked="0" layoutInCell="0" allowOverlap="1" relativeHeight="4">
                <wp:simplePos x="0" y="0"/>
                <wp:positionH relativeFrom="page">
                  <wp:posOffset>1828800</wp:posOffset>
                </wp:positionH>
                <wp:positionV relativeFrom="paragraph">
                  <wp:posOffset>635</wp:posOffset>
                </wp:positionV>
                <wp:extent cx="4800600" cy="635"/>
                <wp:effectExtent l="0" t="635" r="0" b="0"/>
                <wp:wrapNone/>
                <wp:docPr id="3" name=""/>
                <a:graphic xmlns:a="http://schemas.openxmlformats.org/drawingml/2006/main">
                  <a:graphicData uri="http://schemas.microsoft.com/office/word/2010/wordprocessingShape">
                    <wps:wsp>
                      <wps:cNvSpPr/>
                      <wps:spPr>
                        <a:xfrm>
                          <a:off x="0" y="0"/>
                          <a:ext cx="4800600" cy="7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44pt;margin-top:0pt;width:377.95pt;height:0pt;mso-wrap-style:none;v-text-anchor:middle;mso-position-horizontal-relative:page">
                <v:fill o:detectmouseclick="t" type="solid" color2="white"/>
                <v:stroke color="#3465a4" joinstyle="round" endcap="flat"/>
                <w10:wrap type="none"/>
              </v:rect>
            </w:pict>
          </mc:Fallback>
        </mc:AlternateContent>
      </w:r>
      <w:r>
        <w:rPr>
          <w:i/>
          <w:sz w:val="22"/>
        </w:rPr>
        <w:t>J.D. 1997</w:t>
      </w:r>
    </w:p>
    <w:p>
      <w:pPr>
        <w:pStyle w:val="Style13"/>
        <w:numPr>
          <w:ilvl w:val="0"/>
          <w:numId w:val="4"/>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b/>
          <w:sz w:val="22"/>
        </w:rPr>
        <w:t>Executive Editor</w:t>
      </w:r>
      <w:r>
        <w:rPr>
          <w:sz w:val="22"/>
        </w:rPr>
        <w:t xml:space="preserve">, </w:t>
      </w:r>
      <w:r>
        <w:rPr>
          <w:sz w:val="22"/>
          <w:u w:val="single"/>
        </w:rPr>
        <w:t>West-Northwest Journal of Environmental Law and Policy</w:t>
      </w:r>
    </w:p>
    <w:p>
      <w:pPr>
        <w:pStyle w:val="Style13"/>
        <w:numPr>
          <w:ilvl w:val="0"/>
          <w:numId w:val="4"/>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 xml:space="preserve">Published Note, Summer 1998, </w:t>
      </w:r>
      <w:r>
        <w:rPr>
          <w:sz w:val="22"/>
          <w:u w:val="single"/>
        </w:rPr>
        <w:t>West-Northwest Journal of Environmental Law and Policy</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z w:val="22"/>
        </w:rPr>
      </w:pPr>
      <w:r>
        <w:rPr>
          <w:sz w:val="22"/>
        </w:rPr>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z w:val="22"/>
        </w:rPr>
      </w:pPr>
      <w:r>
        <w:rPr>
          <w:smallCaps/>
          <w:sz w:val="22"/>
        </w:rPr>
        <w:t>University of Houston</w:t>
      </w:r>
    </w:p>
    <w:p>
      <w:pPr>
        <w:pStyle w:val="Normal"/>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end="360"/>
        <w:jc w:val="both"/>
        <w:rPr>
          <w:sz w:val="22"/>
        </w:rPr>
      </w:pPr>
      <w:r>
        <w:rPr>
          <w:i/>
          <w:sz w:val="22"/>
        </w:rPr>
        <w:t>B.A., Psychology 1994, cum laude</w:t>
      </w:r>
    </w:p>
    <w:p>
      <w:pPr>
        <w:pStyle w:val="Style13"/>
        <w:numPr>
          <w:ilvl w:val="0"/>
          <w:numId w:val="6"/>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360" w:start="360" w:end="360"/>
        <w:jc w:val="both"/>
        <w:rPr>
          <w:sz w:val="22"/>
        </w:rPr>
      </w:pPr>
      <w:r>
        <w:rPr>
          <w:sz w:val="22"/>
        </w:rPr>
        <w:t xml:space="preserve">Recipient, four-year </w:t>
      </w:r>
      <w:r>
        <w:rPr>
          <w:b/>
          <w:sz w:val="22"/>
        </w:rPr>
        <w:t>National Merit</w:t>
      </w:r>
      <w:r>
        <w:rPr>
          <w:sz w:val="22"/>
        </w:rPr>
        <w:t xml:space="preserve"> full </w:t>
      </w:r>
      <w:r>
        <w:rPr>
          <w:b/>
          <w:sz w:val="22"/>
        </w:rPr>
        <w:t>scholarship</w:t>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1530" w:start="1440" w:end="360"/>
        <w:rPr>
          <w:sz w:val="22"/>
        </w:rPr>
      </w:pPr>
      <w:r>
        <w:rPr>
          <w:sz w:val="22"/>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0" w:start="1440" w:end="360"/>
        <w:rPr/>
      </w:pPr>
      <w:r>
        <w:rPr/>
      </w:r>
    </w:p>
    <w:p>
      <w:pPr>
        <w:pStyle w:val="Style13"/>
        <w:tabs>
          <w:tab w:val="clear" w:pos="720"/>
          <w:tab w:val="left" w:pos="-1440" w:leader="none"/>
          <w:tab w:val="left" w:pos="-960" w:leader="none"/>
          <w:tab w:val="left" w:pos="-482" w:leader="none"/>
          <w:tab w:val="left" w:pos="-90" w:leader="none"/>
          <w:tab w:val="left" w:pos="-2" w:leader="none"/>
          <w:tab w:val="left" w:pos="477" w:leader="none"/>
          <w:tab w:val="left" w:pos="95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s>
        <w:ind w:hanging="1440" w:start="1440" w:end="360"/>
        <w:rPr/>
      </w:pPr>
      <w:r>
        <w:rPr/>
      </w:r>
    </w:p>
    <w:sectPr>
      <w:type w:val="continuous"/>
      <w:pgSz w:w="12240" w:h="15840"/>
      <w:pgMar w:left="1296" w:right="1296" w:gutter="0" w:header="0" w:top="1296" w:footer="0" w:bottom="12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18"/>
      </w:rPr>
    </w:lvl>
  </w:abstractNum>
  <w:abstractNum w:abstractNumId="3">
    <w:lvl w:ilvl="0">
      <w:start w:val="1"/>
      <w:numFmt w:val="bullet"/>
      <w:lvlText w:val=""/>
      <w:lvlJc w:val="start"/>
      <w:pPr>
        <w:tabs>
          <w:tab w:val="num" w:pos="360"/>
        </w:tabs>
        <w:ind w:start="360" w:hanging="360"/>
      </w:pPr>
      <w:rPr>
        <w:rFonts w:ascii="Symbol" w:hAnsi="Symbol" w:cs="Symbol" w:hint="default"/>
        <w:sz w:val="18"/>
      </w:rPr>
    </w:lvl>
  </w:abstractNum>
  <w:abstractNum w:abstractNumId="4">
    <w:lvl w:ilvl="0">
      <w:start w:val="1"/>
      <w:numFmt w:val="bullet"/>
      <w:lvlText w:val=""/>
      <w:lvlJc w:val="start"/>
      <w:pPr>
        <w:tabs>
          <w:tab w:val="num" w:pos="360"/>
        </w:tabs>
        <w:ind w:start="360" w:hanging="360"/>
      </w:pPr>
      <w:rPr>
        <w:rFonts w:ascii="Symbol" w:hAnsi="Symbol" w:cs="Symbol" w:hint="default"/>
        <w:sz w:val="18"/>
      </w:rPr>
    </w:lvl>
  </w:abstractNum>
  <w:abstractNum w:abstractNumId="5">
    <w:lvl w:ilvl="0">
      <w:start w:val="1"/>
      <w:numFmt w:val="bullet"/>
      <w:lvlText w:val=""/>
      <w:lvlJc w:val="start"/>
      <w:pPr>
        <w:tabs>
          <w:tab w:val="num" w:pos="360"/>
        </w:tabs>
        <w:ind w:start="360" w:hanging="360"/>
      </w:pPr>
      <w:rPr>
        <w:rFonts w:ascii="Symbol" w:hAnsi="Symbol" w:cs="Symbol" w:hint="default"/>
        <w:sz w:val="18"/>
      </w:rPr>
    </w:lvl>
  </w:abstractNum>
  <w:abstractNum w:abstractNumId="6">
    <w:lvl w:ilvl="0">
      <w:start w:val="1"/>
      <w:numFmt w:val="bullet"/>
      <w:lvlText w:val=""/>
      <w:lvlJc w:val="start"/>
      <w:pPr>
        <w:tabs>
          <w:tab w:val="num" w:pos="360"/>
        </w:tabs>
        <w:ind w:start="360" w:hanging="360"/>
      </w:pPr>
      <w:rPr>
        <w:rFonts w:ascii="Symbol" w:hAnsi="Symbol" w:cs="Symbol" w:hint="default"/>
        <w:sz w:val="18"/>
      </w:rPr>
    </w:lvl>
  </w:abstractNum>
  <w:abstractNum w:abstractNumId="7">
    <w:lvl w:ilvl="0">
      <w:start w:val="1"/>
      <w:numFmt w:val="bullet"/>
      <w:lvlText w:val=""/>
      <w:lvlJc w:val="start"/>
      <w:pPr>
        <w:tabs>
          <w:tab w:val="num" w:pos="360"/>
        </w:tabs>
        <w:ind w:start="360" w:hanging="360"/>
      </w:pPr>
      <w:rPr>
        <w:rFonts w:ascii="Symbol" w:hAnsi="Symbol" w:cs="Symbol" w:hint="default"/>
        <w:sz w:val="12"/>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1440" w:leader="none"/>
        <w:tab w:val="left" w:pos="-960" w:leader="none"/>
        <w:tab w:val="left" w:pos="-482" w:leader="none"/>
        <w:tab w:val="left" w:pos="-2" w:leader="none"/>
        <w:tab w:val="left" w:pos="477" w:leader="none"/>
        <w:tab w:val="left" w:pos="957" w:leader="none"/>
        <w:tab w:val="left" w:pos="1437" w:leader="none"/>
        <w:tab w:val="left" w:pos="1916" w:leader="none"/>
        <w:tab w:val="left" w:pos="2396" w:leader="none"/>
        <w:tab w:val="left" w:pos="2875" w:leader="none"/>
        <w:tab w:val="left" w:pos="3355" w:leader="none"/>
        <w:tab w:val="left" w:pos="3835" w:leader="none"/>
        <w:tab w:val="left" w:pos="4314" w:leader="none"/>
        <w:tab w:val="left" w:pos="4794" w:leader="none"/>
        <w:tab w:val="left" w:pos="5272" w:leader="none"/>
        <w:tab w:val="left" w:pos="5752" w:leader="none"/>
        <w:tab w:val="left" w:pos="6232" w:leader="none"/>
        <w:tab w:val="left" w:pos="6711" w:leader="none"/>
        <w:tab w:val="left" w:pos="7191" w:leader="none"/>
        <w:tab w:val="left" w:pos="7670" w:leader="none"/>
        <w:tab w:val="left" w:pos="8150" w:leader="none"/>
        <w:tab w:val="left" w:pos="8630" w:leader="none"/>
        <w:tab w:val="left" w:pos="9109" w:leader="none"/>
      </w:tabs>
      <w:outlineLvl w:val="0"/>
    </w:pPr>
    <w:rPr>
      <w:b/>
      <w:smallCaps/>
      <w:sz w:val="36"/>
    </w:rPr>
  </w:style>
  <w:style w:type="character" w:styleId="WW8Num2z0">
    <w:name w:val="WW8Num2z0"/>
    <w:qFormat/>
    <w:rPr>
      <w:rFonts w:ascii="Symbol" w:hAnsi="Symbol" w:cs="Symbol"/>
      <w:sz w:val="18"/>
    </w:rPr>
  </w:style>
  <w:style w:type="character" w:styleId="WW8Num3z0">
    <w:name w:val="WW8Num3z0"/>
    <w:qFormat/>
    <w:rPr>
      <w:rFonts w:ascii="Symbol" w:hAnsi="Symbol" w:cs="Symbol"/>
      <w:sz w:val="18"/>
    </w:rPr>
  </w:style>
  <w:style w:type="character" w:styleId="WW8Num4z0">
    <w:name w:val="WW8Num4z0"/>
    <w:qFormat/>
    <w:rPr>
      <w:rFonts w:ascii="Symbol" w:hAnsi="Symbol" w:cs="Symbol"/>
      <w:sz w:val="18"/>
    </w:rPr>
  </w:style>
  <w:style w:type="character" w:styleId="WW8Num5z0">
    <w:name w:val="WW8Num5z0"/>
    <w:qFormat/>
    <w:rPr>
      <w:rFonts w:ascii="Symbol" w:hAnsi="Symbol" w:cs="Symbol"/>
      <w:sz w:val="18"/>
    </w:rPr>
  </w:style>
  <w:style w:type="character" w:styleId="WW8Num6z0">
    <w:name w:val="WW8Num6z0"/>
    <w:qFormat/>
    <w:rPr>
      <w:rFonts w:ascii="Symbol" w:hAnsi="Symbol" w:cs="Symbol"/>
      <w:sz w:val="18"/>
    </w:rPr>
  </w:style>
  <w:style w:type="character" w:styleId="WW8Num7z0">
    <w:name w:val="WW8Num7z0"/>
    <w:qFormat/>
    <w:rPr>
      <w:rFonts w:ascii="Symbol" w:hAnsi="Symbol" w:cs="Symbol"/>
      <w:sz w:val="12"/>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ection">
    <w:name w:val="Section"/>
    <w:basedOn w:val="Normal"/>
    <w:qFormat/>
    <w:pPr>
      <w:ind w:hanging="0" w:start="-1080" w:end="0"/>
    </w:pPr>
    <w:rPr>
      <w:smallCaps/>
      <w:sz w:val="26"/>
    </w:rPr>
  </w:style>
  <w:style w:type="paragraph" w:styleId="Style13">
    <w:name w:val="_"/>
    <w:basedOn w:val="Normal"/>
    <w:qFormat/>
    <w:pPr>
      <w:ind w:hanging="476" w:start="476"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cott@pinnaclexec.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2000-04-12T13:25:00Z</dcterms:created>
  <dc:creator>Craig R. Enochs</dc:creator>
  <dc:description/>
  <dc:language>en-CA</dc:language>
  <cp:lastModifiedBy>Jeff</cp:lastModifiedBy>
  <dcterms:modified xsi:type="dcterms:W3CDTF">2000-04-12T13:25:00Z</dcterms:modified>
  <cp:revision>2</cp:revision>
  <dc:subject/>
  <dc:title>CRAIG R</dc:title>
</cp:coreProperties>
</file>