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Risk Management &amp; Trading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Normal"/>
        <w:rPr/>
      </w:pPr>
      <w:r>
        <w:rPr/>
      </w:r>
    </w:p>
    <w:p>
      <w:pPr>
        <w:pStyle w:val="Normal"/>
        <w:rPr/>
      </w:pPr>
      <w:r>
        <w:rPr/>
      </w:r>
    </w:p>
    <w:p>
      <w:pPr>
        <w:pStyle w:val="Heading1"/>
        <w:ind w:hanging="0" w:start="0"/>
        <w:rPr/>
      </w:pPr>
      <w:r>
        <w:rPr/>
        <w:t>CONFIRMATION OF A SWAP AGREEMENT</w:t>
      </w:r>
    </w:p>
    <w:p>
      <w:pPr>
        <w:pStyle w:val="Normal"/>
        <w:jc w:val="center"/>
        <w:rPr>
          <w:b/>
          <w:u w:val="single"/>
        </w:rPr>
      </w:pPr>
      <w:r>
        <w:rPr>
          <w:b/>
          <w:u w:val="single"/>
        </w:rPr>
      </w:r>
    </w:p>
    <w:p>
      <w:pPr>
        <w:pStyle w:val="Normal"/>
        <w:rPr/>
      </w:pPr>
      <w:r>
        <w:rPr/>
        <w:t>Date:</w:t>
        <w:tab/>
        <w:tab/>
        <w:t>February 24, 1999</w:t>
      </w:r>
    </w:p>
    <w:p>
      <w:pPr>
        <w:pStyle w:val="Normal"/>
        <w:rPr/>
      </w:pPr>
      <w:r>
        <w:rPr/>
      </w:r>
    </w:p>
    <w:p>
      <w:pPr>
        <w:pStyle w:val="Normal"/>
        <w:ind w:hanging="1440" w:start="1440" w:end="0"/>
        <w:rPr/>
      </w:pPr>
      <w:r>
        <w:rPr/>
        <w:t>To:</w:t>
        <w:tab/>
        <w:t>Enron Nordic Energy (Norwegian Branch of Enron Capital &amp; Trade Resources International Corp.) (“Counterparty”)</w:t>
      </w:r>
    </w:p>
    <w:p>
      <w:pPr>
        <w:pStyle w:val="Normal"/>
        <w:ind w:hanging="1440" w:start="1440" w:end="0"/>
        <w:rPr/>
      </w:pPr>
      <w:r>
        <w:rPr/>
      </w:r>
    </w:p>
    <w:p>
      <w:pPr>
        <w:pStyle w:val="Normal"/>
        <w:ind w:hanging="1440" w:start="1440" w:end="0"/>
        <w:rPr/>
      </w:pPr>
      <w:r>
        <w:rPr/>
        <w:t>Attention:</w:t>
        <w:tab/>
        <w:t>Brynjar Wiersholm</w:t>
      </w:r>
    </w:p>
    <w:p>
      <w:pPr>
        <w:pStyle w:val="Normal"/>
        <w:ind w:hanging="1440" w:start="1440" w:end="0"/>
        <w:rPr/>
      </w:pPr>
      <w:r>
        <w:rPr/>
      </w:r>
    </w:p>
    <w:p>
      <w:pPr>
        <w:pStyle w:val="Normal"/>
        <w:ind w:hanging="1440" w:start="1440" w:end="0"/>
        <w:rPr/>
      </w:pPr>
      <w:r>
        <w:rPr/>
        <w:t>From:</w:t>
        <w:tab/>
        <w:t>Risk Management &amp; Trading Corp.(“RMT”)</w:t>
      </w:r>
    </w:p>
    <w:p>
      <w:pPr>
        <w:pStyle w:val="Normal"/>
        <w:ind w:hanging="1440" w:start="1440" w:end="0"/>
        <w:rPr/>
      </w:pPr>
      <w:r>
        <w:rPr/>
      </w:r>
    </w:p>
    <w:p>
      <w:pPr>
        <w:pStyle w:val="Normal"/>
        <w:ind w:hanging="1440" w:start="1440" w:end="0"/>
        <w:rPr/>
      </w:pPr>
      <w:r>
        <w:rPr/>
        <w:t>RE:</w:t>
        <w:tab/>
        <w:t>Rho/Drift/Benchmark &amp; Hedge Mangement Fee Invoice</w:t>
      </w:r>
    </w:p>
    <w:p>
      <w:pPr>
        <w:pStyle w:val="Normal"/>
        <w:ind w:hanging="1440" w:start="1440" w:end="0"/>
        <w:rPr/>
      </w:pPr>
      <w:r>
        <w:rPr/>
      </w:r>
    </w:p>
    <w:p>
      <w:pPr>
        <w:pStyle w:val="Normal"/>
        <w:ind w:hanging="1440" w:start="1440" w:end="0"/>
        <w:rPr/>
      </w:pPr>
      <w:r>
        <w:rPr/>
        <w:t xml:space="preserve">The purpose of this letter is to confirm the terms and conditions of the Transaction entered into between us </w:t>
      </w:r>
    </w:p>
    <w:p>
      <w:pPr>
        <w:pStyle w:val="Normal"/>
        <w:tabs>
          <w:tab w:val="clear" w:pos="720"/>
          <w:tab w:val="decimal" w:pos="0" w:leader="none"/>
        </w:tabs>
        <w:rPr/>
      </w:pPr>
      <w:r>
        <w:rPr/>
        <w:t>on the Trade Date specified below.  This letter constitutes a “Confirmation” as referred to in the ISDA Master Agreement specified below.</w:t>
      </w:r>
    </w:p>
    <w:p>
      <w:pPr>
        <w:pStyle w:val="Normal"/>
        <w:tabs>
          <w:tab w:val="clear" w:pos="720"/>
          <w:tab w:val="decimal" w:pos="0" w:leader="none"/>
        </w:tabs>
        <w:rPr/>
      </w:pPr>
      <w:r>
        <w:rPr/>
      </w:r>
    </w:p>
    <w:p>
      <w:pPr>
        <w:pStyle w:val="Normal"/>
        <w:numPr>
          <w:ilvl w:val="0"/>
          <w:numId w:val="2"/>
        </w:numPr>
        <w:tabs>
          <w:tab w:val="clear" w:pos="720"/>
          <w:tab w:val="decimal" w:pos="0" w:leader="none"/>
        </w:tabs>
        <w:rPr/>
      </w:pPr>
      <w:r>
        <w:rPr/>
        <w:t>This Confirmation supplements, forms part of and is subject to, the ISDA Master Agreement dated as of March 31, 1997 as amended and supplemented from time to time (the “Agreement”), between you and us.  All provisions contained in the Agreement govern this Confirmation except as expressly modified below.</w:t>
      </w:r>
    </w:p>
    <w:p>
      <w:pPr>
        <w:pStyle w:val="Normal"/>
        <w:tabs>
          <w:tab w:val="clear" w:pos="720"/>
          <w:tab w:val="decimal" w:pos="0" w:leader="none"/>
        </w:tabs>
        <w:rPr/>
      </w:pPr>
      <w:r>
        <w:rPr/>
      </w:r>
    </w:p>
    <w:p>
      <w:pPr>
        <w:pStyle w:val="Normal"/>
        <w:numPr>
          <w:ilvl w:val="0"/>
          <w:numId w:val="2"/>
        </w:numPr>
        <w:tabs>
          <w:tab w:val="clear" w:pos="720"/>
          <w:tab w:val="decimal" w:pos="0" w:leader="none"/>
        </w:tabs>
        <w:rPr/>
      </w:pPr>
      <w:r>
        <w:rPr/>
        <w:t>The terms of the particular Transaction to which this Confirmation relates are as follows:</w:t>
      </w:r>
    </w:p>
    <w:p>
      <w:pPr>
        <w:pStyle w:val="Normal"/>
        <w:tabs>
          <w:tab w:val="clear" w:pos="720"/>
          <w:tab w:val="decimal" w:pos="0" w:leader="none"/>
        </w:tabs>
        <w:rPr/>
      </w:pPr>
      <w:r>
        <w:rPr/>
      </w:r>
    </w:p>
    <w:tbl>
      <w:tblPr>
        <w:tblW w:w="8568" w:type="dxa"/>
        <w:jc w:val="start"/>
        <w:tblInd w:w="0" w:type="dxa"/>
        <w:tblLayout w:type="fixed"/>
        <w:tblCellMar>
          <w:top w:w="0" w:type="dxa"/>
          <w:start w:w="108" w:type="dxa"/>
          <w:bottom w:w="0" w:type="dxa"/>
          <w:end w:w="108" w:type="dxa"/>
        </w:tblCellMar>
      </w:tblPr>
      <w:tblGrid>
        <w:gridCol w:w="3618"/>
        <w:gridCol w:w="4950"/>
      </w:tblGrid>
      <w:tr>
        <w:trPr/>
        <w:tc>
          <w:tcPr>
            <w:tcW w:w="3618" w:type="dxa"/>
            <w:tcBorders/>
          </w:tcPr>
          <w:p>
            <w:pPr>
              <w:pStyle w:val="Normal"/>
              <w:tabs>
                <w:tab w:val="clear" w:pos="720"/>
                <w:tab w:val="decimal" w:pos="0" w:leader="none"/>
              </w:tabs>
              <w:rPr/>
            </w:pPr>
            <w:r>
              <w:rPr/>
              <w:t>Notional Amount per Calculation Period:</w:t>
            </w:r>
          </w:p>
        </w:tc>
        <w:tc>
          <w:tcPr>
            <w:tcW w:w="4950" w:type="dxa"/>
            <w:tcBorders/>
          </w:tcPr>
          <w:p>
            <w:pPr>
              <w:pStyle w:val="Normal"/>
              <w:tabs>
                <w:tab w:val="clear" w:pos="720"/>
                <w:tab w:val="decimal" w:pos="0" w:leader="none"/>
              </w:tabs>
              <w:rPr/>
            </w:pPr>
            <w:r>
              <w:rPr/>
              <w:t>Ninety percent of the sum of forwards and swaps cashflows (and any other Transactions as agreed from time to time by the parties) as set forth in the computer Excel file labeled “CFYYMMDD” (where “YYMMDD” represents the date of the cashflows) sent by Counterparty to RMT by 5 P.M. Houston Time on the Business Day prior to each relevant Calculation Period in the form of Annex A attached hereto entitled “Interest Rate Deal Ticket”.  If Counterparty fails to deliver to RMT such Interest Rate Deal Ticket by 5 P.M. Houston Time on the Business Day prior to the relevant Calculation Period, then the Notional Amount for such Calculation Period shall be ninety percent of the sum of forwards and swaps cashflows (and any other Transactions as agreed to by the parties) last delivered by Counterparty</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Calculation Period:</w:t>
            </w:r>
          </w:p>
        </w:tc>
        <w:tc>
          <w:tcPr>
            <w:tcW w:w="4950" w:type="dxa"/>
            <w:tcBorders/>
          </w:tcPr>
          <w:p>
            <w:pPr>
              <w:pStyle w:val="Normal"/>
              <w:tabs>
                <w:tab w:val="clear" w:pos="720"/>
                <w:tab w:val="decimal" w:pos="0" w:leader="none"/>
              </w:tabs>
              <w:rPr/>
            </w:pPr>
            <w:r>
              <w:rPr/>
              <w:t>Each calendar day from and including the Effective Date to and including the Termination Date, excluding weekends and Oslo/Houston holidays; provided, however, that the Calculation Period immediately following that weekend and/or Oslo/Houston holiday shall also include that weekend and/or Oslo/Houston holiday (as applicable)</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Trade Date:</w:t>
            </w:r>
          </w:p>
        </w:tc>
        <w:tc>
          <w:tcPr>
            <w:tcW w:w="4950" w:type="dxa"/>
            <w:tcBorders/>
          </w:tcPr>
          <w:p>
            <w:pPr>
              <w:pStyle w:val="Normal"/>
              <w:tabs>
                <w:tab w:val="clear" w:pos="720"/>
                <w:tab w:val="decimal" w:pos="0" w:leader="none"/>
              </w:tabs>
              <w:rPr/>
            </w:pPr>
            <w:r>
              <w:rPr/>
              <w:t>August 18, 1997</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Effective Date:</w:t>
            </w:r>
          </w:p>
        </w:tc>
        <w:tc>
          <w:tcPr>
            <w:tcW w:w="4950" w:type="dxa"/>
            <w:tcBorders/>
          </w:tcPr>
          <w:p>
            <w:pPr>
              <w:pStyle w:val="Normal"/>
              <w:tabs>
                <w:tab w:val="clear" w:pos="720"/>
                <w:tab w:val="decimal" w:pos="0" w:leader="none"/>
              </w:tabs>
              <w:rPr/>
            </w:pPr>
            <w:r>
              <w:rPr/>
              <w:t>August 18, 1997</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Termination Date:</w:t>
            </w:r>
          </w:p>
        </w:tc>
        <w:tc>
          <w:tcPr>
            <w:tcW w:w="4950" w:type="dxa"/>
            <w:tcBorders/>
          </w:tcPr>
          <w:p>
            <w:pPr>
              <w:pStyle w:val="Normal"/>
              <w:tabs>
                <w:tab w:val="clear" w:pos="720"/>
                <w:tab w:val="decimal" w:pos="0" w:leader="none"/>
              </w:tabs>
              <w:rPr/>
            </w:pPr>
            <w:r>
              <w:rPr/>
              <w:t>The last day of the last month specified in the current Calculation Period Interest Rate Deal Ticket</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Floating Payment Amount:</w:t>
            </w:r>
          </w:p>
        </w:tc>
        <w:tc>
          <w:tcPr>
            <w:tcW w:w="4950" w:type="dxa"/>
            <w:tcBorders/>
          </w:tcPr>
          <w:p>
            <w:pPr>
              <w:pStyle w:val="Normal"/>
              <w:tabs>
                <w:tab w:val="clear" w:pos="720"/>
                <w:tab w:val="decimal" w:pos="0" w:leader="none"/>
              </w:tabs>
              <w:rPr/>
            </w:pPr>
            <w:r>
              <w:rPr/>
              <w:t>The Floating Payment Amount with respect to any given Calculation Period shall be the difference (calculated in Norwegian Krone) between (a)  the present value of the Notional Amount on the Opening Day using the Curve on that day and (b) the present value of the same Notional Amount on the Closing Day using the Curve on that day, in each case as calculated by RMT in good faith</w:t>
            </w:r>
          </w:p>
          <w:p>
            <w:pPr>
              <w:pStyle w:val="Normal"/>
              <w:tabs>
                <w:tab w:val="clear" w:pos="720"/>
                <w:tab w:val="decimal" w:pos="0" w:leader="none"/>
              </w:tabs>
              <w:rPr/>
            </w:pPr>
            <w:r>
              <w:rPr/>
            </w:r>
          </w:p>
          <w:p>
            <w:pPr>
              <w:pStyle w:val="Normal"/>
              <w:tabs>
                <w:tab w:val="clear" w:pos="720"/>
                <w:tab w:val="decimal" w:pos="0" w:leader="none"/>
              </w:tabs>
              <w:rPr/>
            </w:pPr>
            <w:r>
              <w:rPr/>
              <w:t>With respect to each Calculation Period, if the Floating Payment Amount is a positive number RMT shall pay such amount to Counterparty on the relevant Payment Date, and if the Floating Payment Amount is negative Counterparty shall pay the absolute value of such amount to RMT</w:t>
            </w:r>
          </w:p>
          <w:p>
            <w:pPr>
              <w:pStyle w:val="Normal"/>
              <w:tabs>
                <w:tab w:val="clear" w:pos="720"/>
                <w:tab w:val="decimal" w:pos="0" w:leader="none"/>
              </w:tabs>
              <w:rPr/>
            </w:pPr>
            <w:r>
              <w:rPr/>
            </w:r>
          </w:p>
          <w:p>
            <w:pPr>
              <w:pStyle w:val="Normal"/>
              <w:tabs>
                <w:tab w:val="clear" w:pos="720"/>
                <w:tab w:val="decimal" w:pos="0" w:leader="none"/>
              </w:tabs>
              <w:rPr/>
            </w:pPr>
            <w:r>
              <w:rPr/>
              <w:t>“</w:t>
            </w:r>
            <w:r>
              <w:rPr/>
              <w:t>Opening Day” is the Business Day immediately preceding the Calculation Period, when ninety percent of the forwards and swaps Cashflows as set forth in the Interest Rate Deal Ticket sent by Counterparty to RMT</w:t>
            </w:r>
          </w:p>
          <w:p>
            <w:pPr>
              <w:pStyle w:val="Normal"/>
              <w:tabs>
                <w:tab w:val="clear" w:pos="720"/>
                <w:tab w:val="decimal" w:pos="0" w:leader="none"/>
              </w:tabs>
              <w:rPr/>
            </w:pPr>
            <w:r>
              <w:rPr/>
            </w:r>
          </w:p>
          <w:p>
            <w:pPr>
              <w:pStyle w:val="Normal"/>
              <w:tabs>
                <w:tab w:val="clear" w:pos="720"/>
                <w:tab w:val="decimal" w:pos="0" w:leader="none"/>
              </w:tabs>
              <w:rPr/>
            </w:pPr>
            <w:r>
              <w:rPr/>
              <w:t>“</w:t>
            </w:r>
            <w:r>
              <w:rPr/>
              <w:t>Closing Day” is the day of the Calculation Period itself (or last day of the Calculation Period if the Calculation Period contains more than one day) which will follow the Opening Day</w:t>
            </w:r>
          </w:p>
          <w:p>
            <w:pPr>
              <w:pStyle w:val="Normal"/>
              <w:tabs>
                <w:tab w:val="clear" w:pos="720"/>
                <w:tab w:val="decimal" w:pos="0" w:leader="none"/>
              </w:tabs>
              <w:rPr/>
            </w:pPr>
            <w:r>
              <w:rPr/>
            </w:r>
          </w:p>
          <w:p>
            <w:pPr>
              <w:pStyle w:val="Normal"/>
              <w:tabs>
                <w:tab w:val="clear" w:pos="720"/>
                <w:tab w:val="decimal" w:pos="0" w:leader="none"/>
              </w:tabs>
              <w:rPr/>
            </w:pPr>
            <w:r>
              <w:rPr/>
              <w:t>“</w:t>
            </w:r>
            <w:r>
              <w:rPr/>
              <w:t>Curve” is the closing NIBOR yield curve for such day</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 xml:space="preserve">Counterparty Floating Interest </w:t>
            </w:r>
          </w:p>
          <w:p>
            <w:pPr>
              <w:pStyle w:val="Normal"/>
              <w:tabs>
                <w:tab w:val="clear" w:pos="720"/>
                <w:tab w:val="decimal" w:pos="0" w:leader="none"/>
              </w:tabs>
              <w:rPr/>
            </w:pPr>
            <w:r>
              <w:rPr/>
              <w:t>Payment Amount:</w:t>
            </w:r>
          </w:p>
        </w:tc>
        <w:tc>
          <w:tcPr>
            <w:tcW w:w="4950" w:type="dxa"/>
            <w:tcBorders/>
          </w:tcPr>
          <w:p>
            <w:pPr>
              <w:pStyle w:val="Normal"/>
              <w:tabs>
                <w:tab w:val="clear" w:pos="720"/>
                <w:tab w:val="decimal" w:pos="0" w:leader="none"/>
              </w:tabs>
              <w:snapToGrid w:val="false"/>
              <w:rPr/>
            </w:pPr>
            <w:r>
              <w:rPr/>
            </w:r>
          </w:p>
          <w:p>
            <w:pPr>
              <w:pStyle w:val="Normal"/>
              <w:tabs>
                <w:tab w:val="clear" w:pos="720"/>
                <w:tab w:val="decimal" w:pos="0" w:leader="none"/>
              </w:tabs>
              <w:rPr/>
            </w:pPr>
            <w:r>
              <w:rPr/>
              <w:t>With respect to each Calculation Period, Counterparty shall pay to RMT on the relevant Payment Date an amount equal to the present value of the Notional Amount on the Opening Day multiplied by the NIBOR one week rate quoted on Bloomberg Page NIBR less 25 basis points (or such other spread as may be agreed by the parties from time to time) multiplied by the number of days in the relevant Calculation Period divided by 360</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Compounding:</w:t>
            </w:r>
          </w:p>
        </w:tc>
        <w:tc>
          <w:tcPr>
            <w:tcW w:w="4950" w:type="dxa"/>
            <w:tcBorders/>
          </w:tcPr>
          <w:p>
            <w:pPr>
              <w:pStyle w:val="Normal"/>
              <w:tabs>
                <w:tab w:val="clear" w:pos="720"/>
                <w:tab w:val="decimal" w:pos="0" w:leader="none"/>
              </w:tabs>
              <w:rPr/>
            </w:pPr>
            <w:r>
              <w:rPr/>
              <w:t>Inapplicable</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Business Days:</w:t>
            </w:r>
          </w:p>
        </w:tc>
        <w:tc>
          <w:tcPr>
            <w:tcW w:w="4950" w:type="dxa"/>
            <w:tcBorders/>
          </w:tcPr>
          <w:p>
            <w:pPr>
              <w:pStyle w:val="Normal"/>
              <w:tabs>
                <w:tab w:val="clear" w:pos="720"/>
                <w:tab w:val="decimal" w:pos="0" w:leader="none"/>
              </w:tabs>
              <w:rPr/>
            </w:pPr>
            <w:r>
              <w:rPr/>
              <w:t>Oslo, Houston</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Calculation on a Daily Basis:</w:t>
            </w:r>
          </w:p>
        </w:tc>
        <w:tc>
          <w:tcPr>
            <w:tcW w:w="4950" w:type="dxa"/>
            <w:tcBorders/>
          </w:tcPr>
          <w:p>
            <w:pPr>
              <w:pStyle w:val="Normal"/>
              <w:tabs>
                <w:tab w:val="clear" w:pos="720"/>
                <w:tab w:val="decimal" w:pos="0" w:leader="none"/>
              </w:tabs>
              <w:rPr/>
            </w:pPr>
            <w:r>
              <w:rPr/>
              <w:t>The amounts referred to above shall be calculated on a daily basis and confirmed in a manner acceptable to the parties</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Payment Dates:</w:t>
            </w:r>
          </w:p>
        </w:tc>
        <w:tc>
          <w:tcPr>
            <w:tcW w:w="4950" w:type="dxa"/>
            <w:tcBorders/>
          </w:tcPr>
          <w:p>
            <w:pPr>
              <w:pStyle w:val="Normal"/>
              <w:tabs>
                <w:tab w:val="clear" w:pos="720"/>
                <w:tab w:val="decimal" w:pos="0" w:leader="none"/>
              </w:tabs>
              <w:rPr/>
            </w:pPr>
            <w:r>
              <w:rPr/>
              <w:t>The Payment Date shall be five Business Days after each calendar month for all those Calculation Periods falling during such month.  Notwithstanding any other provision hereunder, if on such Payment Date aggregate amounts would otherwise be payable by each party to the other, then on such date, each party’s obligation to make payment of any such amount will be automatically satisfied and discharged and, if the aggregate amount that would otherwise have been payable by one party exceeds the aggregate amount that otherwise have been payable by the other party, replaced by an obligation upon the party by whom the larger aggregate amount would have been payable to pay to the other party the excess of the larger aggregate amount over the smaller aggregate amount</w:t>
            </w:r>
          </w:p>
        </w:tc>
      </w:tr>
      <w:tr>
        <w:trPr/>
        <w:tc>
          <w:tcPr>
            <w:tcW w:w="3618" w:type="dxa"/>
            <w:tcBorders/>
          </w:tcPr>
          <w:p>
            <w:pPr>
              <w:pStyle w:val="Normal"/>
              <w:tabs>
                <w:tab w:val="clear" w:pos="720"/>
                <w:tab w:val="decimal" w:pos="0" w:leader="none"/>
              </w:tabs>
              <w:snapToGrid w:val="false"/>
              <w:rPr/>
            </w:pPr>
            <w:r>
              <w:rPr/>
            </w:r>
          </w:p>
        </w:tc>
        <w:tc>
          <w:tcPr>
            <w:tcW w:w="4950" w:type="dxa"/>
            <w:tcBorders/>
          </w:tcPr>
          <w:p>
            <w:pPr>
              <w:pStyle w:val="Normal"/>
              <w:tabs>
                <w:tab w:val="clear" w:pos="720"/>
                <w:tab w:val="decimal" w:pos="0" w:leader="none"/>
              </w:tabs>
              <w:snapToGrid w:val="false"/>
              <w:rPr/>
            </w:pPr>
            <w:r>
              <w:rPr/>
            </w:r>
          </w:p>
        </w:tc>
      </w:tr>
      <w:tr>
        <w:trPr/>
        <w:tc>
          <w:tcPr>
            <w:tcW w:w="3618" w:type="dxa"/>
            <w:tcBorders/>
          </w:tcPr>
          <w:p>
            <w:pPr>
              <w:pStyle w:val="Normal"/>
              <w:tabs>
                <w:tab w:val="clear" w:pos="720"/>
                <w:tab w:val="decimal" w:pos="0" w:leader="none"/>
              </w:tabs>
              <w:rPr/>
            </w:pPr>
            <w:r>
              <w:rPr/>
              <w:t>Calculation Agent:</w:t>
            </w:r>
          </w:p>
        </w:tc>
        <w:tc>
          <w:tcPr>
            <w:tcW w:w="4950" w:type="dxa"/>
            <w:tcBorders/>
          </w:tcPr>
          <w:p>
            <w:pPr>
              <w:pStyle w:val="Normal"/>
              <w:tabs>
                <w:tab w:val="clear" w:pos="720"/>
                <w:tab w:val="decimal" w:pos="0" w:leader="none"/>
              </w:tabs>
              <w:rPr/>
            </w:pPr>
            <w:r>
              <w:rPr/>
              <w:t>RMT</w:t>
            </w:r>
          </w:p>
        </w:tc>
      </w:tr>
    </w:tbl>
    <w:p>
      <w:pPr>
        <w:pStyle w:val="Normal"/>
        <w:tabs>
          <w:tab w:val="clear" w:pos="720"/>
          <w:tab w:val="decimal" w:pos="0" w:leader="none"/>
        </w:tabs>
        <w:rPr/>
      </w:pPr>
      <w:r>
        <w:rPr/>
      </w:r>
    </w:p>
    <w:p>
      <w:pPr>
        <w:pStyle w:val="Normal"/>
        <w:jc w:val="both"/>
        <w:rPr/>
      </w:pPr>
      <w:r>
        <w:rPr/>
        <w:t>3.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rPr/>
      </w:pPr>
      <w:r>
        <w:rPr/>
      </w:r>
    </w:p>
    <w:p>
      <w:pPr>
        <w:pStyle w:val="Normal"/>
        <w:jc w:val="both"/>
        <w:rPr/>
      </w:pPr>
      <w:r>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jc w:val="both"/>
        <w:rPr/>
      </w:pPr>
      <w:r>
        <w:rPr/>
      </w:r>
    </w:p>
    <w:p>
      <w:pPr>
        <w:pStyle w:val="Normal"/>
        <w:tabs>
          <w:tab w:val="clear" w:pos="720"/>
          <w:tab w:val="decimal" w:pos="0" w:leader="none"/>
        </w:tabs>
        <w:rPr/>
      </w:pPr>
      <w:r>
        <w:rPr/>
        <w:t>Risk Management &amp; Trading Corp. is pleased to have entered into this Transaction with you.</w:t>
      </w:r>
    </w:p>
    <w:p>
      <w:pPr>
        <w:pStyle w:val="Normal"/>
        <w:tabs>
          <w:tab w:val="clear" w:pos="720"/>
          <w:tab w:val="decimal" w:pos="0" w:leader="none"/>
        </w:tabs>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RISK MANAGEMENT &amp; TRADING CORP.</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 xml:space="preserve">Enron Nordic Energy </w:t>
      </w:r>
    </w:p>
    <w:p>
      <w:pPr>
        <w:pStyle w:val="Normal"/>
        <w:jc w:val="both"/>
        <w:rPr/>
      </w:pPr>
      <w:r>
        <w:rPr/>
        <w:t xml:space="preserve">(Norwegian branch of Enron Capital &amp; Trade </w:t>
      </w:r>
    </w:p>
    <w:p>
      <w:pPr>
        <w:pStyle w:val="Normal"/>
        <w:jc w:val="both"/>
        <w:rPr/>
      </w:pPr>
      <w:r>
        <w:rPr/>
        <w:t>Resources International Corp.)</w:t>
      </w:r>
    </w:p>
    <w:p>
      <w:pPr>
        <w:pStyle w:val="Normal"/>
        <w:jc w:val="both"/>
        <w:rPr>
          <w:b/>
        </w:rPr>
      </w:pPr>
      <w:r>
        <w:rPr>
          <w:b/>
        </w:rPr>
      </w:r>
    </w:p>
    <w:p>
      <w:pPr>
        <w:pStyle w:val="Normal"/>
        <w:jc w:val="both"/>
        <w:rPr>
          <w:b/>
        </w:rPr>
      </w:pPr>
      <w:r>
        <w:rPr>
          <w:b/>
        </w:rPr>
      </w:r>
    </w:p>
    <w:p>
      <w:pPr>
        <w:pStyle w:val="Normal"/>
        <w:jc w:val="both"/>
        <w:rPr/>
      </w:pPr>
      <w:r>
        <w:rPr/>
        <w:t>By</w:t>
      </w:r>
      <w:r>
        <w:rPr>
          <w:u w:val="single"/>
        </w:rPr>
        <w:t>:</w:t>
        <w:tab/>
        <w:tab/>
        <w:tab/>
        <w:tab/>
        <w:tab/>
      </w:r>
    </w:p>
    <w:p>
      <w:pPr>
        <w:pStyle w:val="Normal"/>
        <w:jc w:val="both"/>
        <w:rPr/>
      </w:pPr>
      <w:r>
        <w:rPr/>
        <w:t>Name:</w:t>
      </w:r>
      <w:r>
        <w:rPr>
          <w:u w:val="single"/>
        </w:rPr>
        <w:tab/>
        <w:tab/>
        <w:tab/>
        <w:tab/>
        <w:tab/>
      </w:r>
    </w:p>
    <w:p>
      <w:pPr>
        <w:pStyle w:val="Normal"/>
        <w:jc w:val="both"/>
        <w:rPr/>
      </w:pPr>
      <w:r>
        <w:rPr/>
        <w:t xml:space="preserve">Title: </w:t>
      </w:r>
      <w:r>
        <w:rPr>
          <w:u w:val="single"/>
        </w:rPr>
        <w:tab/>
        <w:tab/>
        <w:tab/>
        <w:tab/>
        <w:tab/>
      </w:r>
    </w:p>
    <w:p>
      <w:pPr>
        <w:pStyle w:val="Normal"/>
        <w:tabs>
          <w:tab w:val="clear" w:pos="720"/>
          <w:tab w:val="decimal" w:pos="0" w:leader="none"/>
        </w:tabs>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PROPOSAL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1999-02-24T13:27:00Z</dcterms:created>
  <dc:creator>laurel adams</dc:creator>
  <dc:description/>
  <dc:language>en-CA</dc:language>
  <cp:lastModifiedBy>laurel adams</cp:lastModifiedBy>
  <cp:lastPrinted>1999-02-24T12:44:00Z</cp:lastPrinted>
  <dcterms:modified xsi:type="dcterms:W3CDTF">1999-09-17T12:46:00Z</dcterms:modified>
  <cp:revision>6</cp:revision>
  <dc:subject/>
  <dc:title> </dc:title>
</cp:coreProperties>
</file>