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90" w:type="dxa"/>
        <w:jc w:val="start"/>
        <w:tblInd w:w="-522" w:type="dxa"/>
        <w:tblLayout w:type="fixed"/>
        <w:tblCellMar>
          <w:top w:w="0" w:type="dxa"/>
          <w:start w:w="108" w:type="dxa"/>
          <w:bottom w:w="0" w:type="dxa"/>
          <w:end w:w="108" w:type="dxa"/>
        </w:tblCellMar>
      </w:tblPr>
      <w:tblGrid>
        <w:gridCol w:w="3690"/>
        <w:gridCol w:w="7110"/>
        <w:gridCol w:w="90"/>
      </w:tblGrid>
      <w:tr>
        <w:trPr/>
        <w:tc>
          <w:tcPr>
            <w:tcW w:w="3690" w:type="dxa"/>
            <w:tcBorders/>
          </w:tcPr>
          <w:p>
            <w:pPr>
              <w:pStyle w:val="Normal"/>
              <w:spacing w:before="120" w:after="0"/>
              <w:rPr>
                <w:b/>
                <w:color w:val="000000"/>
              </w:rPr>
            </w:pPr>
            <w:r>
              <w:rPr>
                <w:b/>
                <w:color w:val="000000"/>
              </w:rPr>
              <w:t>Party A (Equity Amount Payer):</w:t>
            </w:r>
          </w:p>
        </w:tc>
        <w:tc>
          <w:tcPr>
            <w:tcW w:w="7110" w:type="dxa"/>
            <w:tcBorders/>
          </w:tcPr>
          <w:p>
            <w:pPr>
              <w:pStyle w:val="Normal"/>
              <w:spacing w:before="120" w:after="0"/>
              <w:rPr>
                <w:color w:val="000000"/>
              </w:rPr>
            </w:pPr>
            <w:r>
              <w:rPr>
                <w:color w:val="000000"/>
              </w:rPr>
              <w:t>Merrill Lynch International, with the guarantee of Merrill Lynch and Co.</w:t>
            </w:r>
          </w:p>
        </w:tc>
        <w:tc>
          <w:tcPr>
            <w:tcW w:w="90" w:type="dxa"/>
            <w:tcBorders/>
            <w:tcMar>
              <w:start w:w="0" w:type="dxa"/>
              <w:end w:w="0" w:type="dxa"/>
            </w:tcMar>
          </w:tcPr>
          <w:p>
            <w:pPr>
              <w:pStyle w:val="Normal"/>
              <w:snapToGrid w:val="false"/>
              <w:rPr>
                <w:b/>
                <w:color w:val="000000"/>
              </w:rPr>
            </w:pPr>
            <w:r>
              <w:rPr>
                <w:b/>
                <w:color w:val="000000"/>
              </w:rPr>
            </w:r>
          </w:p>
        </w:tc>
      </w:tr>
      <w:tr>
        <w:trPr>
          <w:trHeight w:val="387" w:hRule="atLeast"/>
        </w:trPr>
        <w:tc>
          <w:tcPr>
            <w:tcW w:w="3690" w:type="dxa"/>
            <w:tcBorders/>
          </w:tcPr>
          <w:p>
            <w:pPr>
              <w:pStyle w:val="Normal"/>
              <w:spacing w:before="120" w:after="0"/>
              <w:rPr>
                <w:b/>
                <w:color w:val="000000"/>
              </w:rPr>
            </w:pPr>
            <w:r>
              <w:rPr>
                <w:b/>
                <w:color w:val="000000"/>
              </w:rPr>
              <w:t>Party B (Floating Amount Payer):</w:t>
            </w:r>
          </w:p>
        </w:tc>
        <w:tc>
          <w:tcPr>
            <w:tcW w:w="7110" w:type="dxa"/>
            <w:tcBorders/>
          </w:tcPr>
          <w:p>
            <w:pPr>
              <w:pStyle w:val="Normal"/>
              <w:spacing w:before="120" w:after="0"/>
              <w:rPr>
                <w:color w:val="000000"/>
              </w:rPr>
            </w:pPr>
            <w:r>
              <w:rPr>
                <w:color w:val="000000"/>
              </w:rPr>
              <w:t>Enron Corporation</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tcPr>
          <w:p>
            <w:pPr>
              <w:pStyle w:val="Normal"/>
              <w:spacing w:before="120" w:after="0"/>
              <w:rPr>
                <w:b/>
                <w:color w:val="000000"/>
              </w:rPr>
            </w:pPr>
            <w:r>
              <w:rPr>
                <w:b/>
                <w:color w:val="000000"/>
              </w:rPr>
              <w:t>Number of Shares:</w:t>
            </w:r>
          </w:p>
        </w:tc>
        <w:tc>
          <w:tcPr>
            <w:tcW w:w="7110" w:type="dxa"/>
            <w:tcBorders/>
          </w:tcPr>
          <w:p>
            <w:pPr>
              <w:pStyle w:val="Normal"/>
              <w:spacing w:before="120" w:after="0"/>
              <w:rPr>
                <w:color w:val="000000"/>
              </w:rPr>
            </w:pPr>
            <w:r>
              <w:rPr>
                <w:color w:val="000000"/>
              </w:rPr>
              <w:t>Up to 2,000,000 Shares</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tcPr>
          <w:p>
            <w:pPr>
              <w:pStyle w:val="Normal"/>
              <w:spacing w:before="100" w:after="0"/>
              <w:rPr>
                <w:b/>
                <w:color w:val="000000"/>
              </w:rPr>
            </w:pPr>
            <w:r>
              <w:rPr>
                <w:b/>
                <w:color w:val="000000"/>
              </w:rPr>
              <w:t>Notional Amount:</w:t>
            </w:r>
          </w:p>
        </w:tc>
        <w:tc>
          <w:tcPr>
            <w:tcW w:w="7110" w:type="dxa"/>
            <w:tcBorders/>
          </w:tcPr>
          <w:p>
            <w:pPr>
              <w:pStyle w:val="Normal"/>
              <w:spacing w:before="100" w:after="0"/>
              <w:jc w:val="both"/>
              <w:rPr>
                <w:color w:val="000000"/>
              </w:rPr>
            </w:pPr>
            <w:r>
              <w:rPr>
                <w:color w:val="000000"/>
              </w:rPr>
              <w:t>On the Trade Date and for each Payment Date:</w:t>
            </w:r>
          </w:p>
          <w:p>
            <w:pPr>
              <w:pStyle w:val="Normal"/>
              <w:spacing w:before="100" w:after="0"/>
              <w:ind w:start="720" w:end="0"/>
              <w:jc w:val="both"/>
              <w:rPr>
                <w:color w:val="000000"/>
              </w:rPr>
            </w:pPr>
            <w:r>
              <w:rPr>
                <w:color w:val="000000"/>
              </w:rPr>
              <w:t>Number of Shares  x  Initial Equity Level</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spacing w:before="100" w:after="0"/>
              <w:rPr>
                <w:b/>
                <w:color w:val="000000"/>
              </w:rPr>
            </w:pPr>
            <w:r>
              <w:rPr>
                <w:b/>
                <w:color w:val="000000"/>
              </w:rPr>
              <w:t>Underlying Equity:</w:t>
            </w:r>
          </w:p>
        </w:tc>
        <w:tc>
          <w:tcPr>
            <w:tcW w:w="7110" w:type="dxa"/>
            <w:tcBorders/>
          </w:tcPr>
          <w:p>
            <w:pPr>
              <w:pStyle w:val="Normal"/>
              <w:spacing w:before="100" w:after="0"/>
              <w:jc w:val="both"/>
              <w:rPr/>
            </w:pPr>
            <w:r>
              <w:rPr>
                <w:color w:val="000000"/>
              </w:rPr>
              <w:t xml:space="preserve">Common Stock of </w:t>
            </w:r>
            <w:r>
              <w:rPr>
                <w:b/>
                <w:color w:val="000000"/>
              </w:rPr>
              <w:t xml:space="preserve">Enron Corp. </w:t>
            </w:r>
            <w:r>
              <w:rPr>
                <w:color w:val="000000"/>
              </w:rPr>
              <w:t>(“ENE”, NYSE)</w:t>
            </w:r>
          </w:p>
        </w:tc>
        <w:tc>
          <w:tcPr>
            <w:tcW w:w="90" w:type="dxa"/>
            <w:tcBorders/>
            <w:tcMar>
              <w:start w:w="0" w:type="dxa"/>
              <w:end w:w="0" w:type="dxa"/>
            </w:tcMar>
          </w:tcPr>
          <w:p>
            <w:pPr>
              <w:pStyle w:val="Normal"/>
              <w:snapToGrid w:val="false"/>
              <w:rPr>
                <w:color w:val="000000"/>
              </w:rPr>
            </w:pPr>
            <w:r>
              <w:rPr>
                <w:color w:val="000000"/>
              </w:rPr>
            </w:r>
          </w:p>
        </w:tc>
      </w:tr>
      <w:tr>
        <w:trPr>
          <w:trHeight w:val="477" w:hRule="atLeast"/>
        </w:trPr>
        <w:tc>
          <w:tcPr>
            <w:tcW w:w="3690" w:type="dxa"/>
            <w:tcBorders/>
          </w:tcPr>
          <w:p>
            <w:pPr>
              <w:pStyle w:val="Normal"/>
              <w:spacing w:before="120" w:after="0"/>
              <w:rPr>
                <w:b/>
                <w:color w:val="000000"/>
              </w:rPr>
            </w:pPr>
            <w:r>
              <w:rPr>
                <w:b/>
                <w:color w:val="000000"/>
              </w:rPr>
              <w:t>Swap Description:</w:t>
            </w:r>
          </w:p>
        </w:tc>
        <w:tc>
          <w:tcPr>
            <w:tcW w:w="7110" w:type="dxa"/>
            <w:tcBorders/>
          </w:tcPr>
          <w:p>
            <w:pPr>
              <w:pStyle w:val="Normal"/>
              <w:spacing w:before="120" w:after="0"/>
              <w:rPr>
                <w:color w:val="000000"/>
              </w:rPr>
            </w:pPr>
            <w:r>
              <w:rPr>
                <w:color w:val="000000"/>
              </w:rPr>
              <w:t>Total Return Swap</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tcPr>
          <w:p>
            <w:pPr>
              <w:pStyle w:val="Normal"/>
              <w:spacing w:before="120" w:after="0"/>
              <w:rPr>
                <w:b/>
                <w:color w:val="000000"/>
              </w:rPr>
            </w:pPr>
            <w:r>
              <w:rPr>
                <w:b/>
                <w:color w:val="000000"/>
              </w:rPr>
              <w:t>Trade Date:</w:t>
            </w:r>
          </w:p>
        </w:tc>
        <w:tc>
          <w:tcPr>
            <w:tcW w:w="7110" w:type="dxa"/>
            <w:tcBorders/>
            <w:vAlign w:val="center"/>
          </w:tcPr>
          <w:p>
            <w:pPr>
              <w:pStyle w:val="Normal"/>
              <w:rPr>
                <w:color w:val="000000"/>
              </w:rPr>
            </w:pPr>
            <w:r>
              <w:rPr>
                <w:color w:val="000000"/>
              </w:rPr>
              <w:t>[May   , 2000]</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vAlign w:val="center"/>
          </w:tcPr>
          <w:p>
            <w:pPr>
              <w:pStyle w:val="Normal"/>
              <w:spacing w:before="120" w:after="0"/>
              <w:rPr>
                <w:b/>
                <w:color w:val="000000"/>
              </w:rPr>
            </w:pPr>
            <w:r>
              <w:rPr>
                <w:b/>
                <w:color w:val="000000"/>
              </w:rPr>
              <w:t>Effective Date:</w:t>
            </w:r>
          </w:p>
        </w:tc>
        <w:tc>
          <w:tcPr>
            <w:tcW w:w="7110" w:type="dxa"/>
            <w:tcBorders/>
            <w:vAlign w:val="center"/>
          </w:tcPr>
          <w:p>
            <w:pPr>
              <w:pStyle w:val="Normal"/>
              <w:snapToGrid w:val="false"/>
              <w:rPr>
                <w:b/>
                <w:color w:val="000000"/>
              </w:rPr>
            </w:pPr>
            <w:r>
              <w:rPr>
                <w:b/>
                <w:color w:val="000000"/>
              </w:rPr>
            </w:r>
          </w:p>
          <w:p>
            <w:pPr>
              <w:pStyle w:val="Normal"/>
              <w:rPr>
                <w:color w:val="000000"/>
              </w:rPr>
            </w:pPr>
            <w:r>
              <w:rPr>
                <w:color w:val="000000"/>
              </w:rPr>
              <w:t>[1] Trading Day after the final trading day required to establish the Initial Equity Level</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vAlign w:val="center"/>
          </w:tcPr>
          <w:p>
            <w:pPr>
              <w:pStyle w:val="Normal"/>
              <w:spacing w:before="120" w:after="0"/>
              <w:rPr>
                <w:b/>
                <w:color w:val="000000"/>
              </w:rPr>
            </w:pPr>
            <w:r>
              <w:rPr>
                <w:b/>
                <w:color w:val="000000"/>
              </w:rPr>
              <w:t>Maturity Date:</w:t>
            </w:r>
          </w:p>
        </w:tc>
        <w:tc>
          <w:tcPr>
            <w:tcW w:w="7110" w:type="dxa"/>
            <w:tcBorders/>
            <w:vAlign w:val="center"/>
          </w:tcPr>
          <w:p>
            <w:pPr>
              <w:pStyle w:val="Normal"/>
              <w:snapToGrid w:val="false"/>
              <w:rPr>
                <w:b/>
                <w:color w:val="000000"/>
              </w:rPr>
            </w:pPr>
            <w:r>
              <w:rPr>
                <w:b/>
                <w:color w:val="000000"/>
              </w:rPr>
            </w:r>
          </w:p>
          <w:p>
            <w:pPr>
              <w:pStyle w:val="Normal"/>
              <w:rPr>
                <w:color w:val="000000"/>
              </w:rPr>
            </w:pPr>
            <w:r>
              <w:rPr>
                <w:color w:val="000000"/>
              </w:rPr>
              <w:t>[1] Year from the Effective Date</w:t>
            </w:r>
          </w:p>
        </w:tc>
        <w:tc>
          <w:tcPr>
            <w:tcW w:w="90" w:type="dxa"/>
            <w:tcBorders/>
            <w:tcMar>
              <w:start w:w="0" w:type="dxa"/>
              <w:end w:w="0" w:type="dxa"/>
            </w:tcMar>
          </w:tcPr>
          <w:p>
            <w:pPr>
              <w:pStyle w:val="Normal"/>
              <w:snapToGrid w:val="false"/>
              <w:rPr>
                <w:b/>
                <w:color w:val="000000"/>
              </w:rPr>
            </w:pPr>
            <w:r>
              <w:rPr>
                <w:b/>
                <w:color w:val="000000"/>
              </w:rPr>
            </w:r>
          </w:p>
        </w:tc>
      </w:tr>
      <w:tr>
        <w:trPr/>
        <w:tc>
          <w:tcPr>
            <w:tcW w:w="3690" w:type="dxa"/>
            <w:tcBorders/>
          </w:tcPr>
          <w:p>
            <w:pPr>
              <w:pStyle w:val="Normal"/>
              <w:spacing w:before="120" w:after="0"/>
              <w:rPr>
                <w:b/>
                <w:color w:val="000000"/>
              </w:rPr>
            </w:pPr>
            <w:r>
              <w:rPr>
                <w:b/>
                <w:color w:val="000000"/>
              </w:rPr>
              <w:t>Initial Equity Level:</w:t>
            </w:r>
          </w:p>
        </w:tc>
        <w:tc>
          <w:tcPr>
            <w:tcW w:w="7110" w:type="dxa"/>
            <w:tcBorders/>
          </w:tcPr>
          <w:p>
            <w:pPr>
              <w:pStyle w:val="Normal"/>
              <w:spacing w:before="120" w:after="0"/>
              <w:jc w:val="both"/>
              <w:rPr>
                <w:color w:val="000000"/>
              </w:rPr>
            </w:pPr>
            <w:r>
              <w:rPr>
                <w:color w:val="000000"/>
              </w:rPr>
              <w:t>For the first Payment Date, the weighted average execution price of Party A’s hedging activities (Party A will be required to purchase shares of the Underlying Equity to effect its initial hedge under 10b-18) adjusted up for carry from each settlement date until the Effective Date applying overnight rates plus the Spread plus Commissions</w:t>
            </w:r>
          </w:p>
          <w:p>
            <w:pPr>
              <w:pStyle w:val="Normal"/>
              <w:spacing w:before="120" w:after="0"/>
              <w:jc w:val="both"/>
              <w:rPr>
                <w:color w:val="000000"/>
              </w:rPr>
            </w:pPr>
            <w:r>
              <w:rPr>
                <w:color w:val="000000"/>
              </w:rPr>
              <w:t>For each subsequent Payment Date the Final Equity Level on the previous Payment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Final Equity Level:</w:t>
            </w:r>
          </w:p>
        </w:tc>
        <w:tc>
          <w:tcPr>
            <w:tcW w:w="7110" w:type="dxa"/>
            <w:tcBorders/>
          </w:tcPr>
          <w:p>
            <w:pPr>
              <w:pStyle w:val="Normal"/>
              <w:spacing w:before="120" w:after="0"/>
              <w:jc w:val="both"/>
              <w:rPr>
                <w:color w:val="000000"/>
              </w:rPr>
            </w:pPr>
            <w:r>
              <w:rPr>
                <w:color w:val="000000"/>
              </w:rPr>
              <w:t>For the Maturity Date, the volume weighted average price (VWAP) in the market for the [3] or [5]  Trading Days (at Party A’s option) subsequent to the Maturity adjusted down for carry from each daily settlement date until the Maturity Date applying overnight rates plus the Spread minus Commissions</w:t>
            </w:r>
          </w:p>
          <w:p>
            <w:pPr>
              <w:pStyle w:val="Normal"/>
              <w:spacing w:before="120" w:after="0"/>
              <w:jc w:val="both"/>
              <w:rPr>
                <w:color w:val="000000"/>
              </w:rPr>
            </w:pPr>
            <w:r>
              <w:rPr>
                <w:color w:val="000000"/>
              </w:rPr>
              <w:t>For each scheduled quarterly Payment Date, the Closing Price of the Underlying Equity on the final day of each Calculation Period.</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Payment Dates:</w:t>
            </w:r>
          </w:p>
        </w:tc>
        <w:tc>
          <w:tcPr>
            <w:tcW w:w="7110" w:type="dxa"/>
            <w:tcBorders/>
          </w:tcPr>
          <w:p>
            <w:pPr>
              <w:pStyle w:val="Normal"/>
              <w:spacing w:before="120" w:after="0"/>
              <w:jc w:val="both"/>
              <w:rPr>
                <w:color w:val="000000"/>
              </w:rPr>
            </w:pPr>
            <w:r>
              <w:rPr>
                <w:color w:val="000000"/>
              </w:rPr>
              <w:t>Monthly after the Effective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Calculation Period:</w:t>
            </w:r>
          </w:p>
        </w:tc>
        <w:tc>
          <w:tcPr>
            <w:tcW w:w="7110" w:type="dxa"/>
            <w:tcBorders/>
          </w:tcPr>
          <w:p>
            <w:pPr>
              <w:pStyle w:val="Normal"/>
              <w:spacing w:before="120" w:after="0"/>
              <w:jc w:val="both"/>
              <w:rPr>
                <w:color w:val="000000"/>
              </w:rPr>
            </w:pPr>
            <w:r>
              <w:rPr>
                <w:color w:val="000000"/>
              </w:rPr>
              <w:t>Monthly period between Payment Dates</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Floating Payments:</w:t>
            </w:r>
          </w:p>
        </w:tc>
        <w:tc>
          <w:tcPr>
            <w:tcW w:w="7110" w:type="dxa"/>
            <w:tcBorders/>
          </w:tcPr>
          <w:p>
            <w:pPr>
              <w:pStyle w:val="Normal"/>
              <w:spacing w:before="120" w:after="0"/>
              <w:jc w:val="both"/>
              <w:rPr/>
            </w:pPr>
            <w:r>
              <w:rPr>
                <w:color w:val="000000"/>
              </w:rPr>
              <w:t>On each Payment Date, Party</w:t>
            </w:r>
            <w:r>
              <w:rPr>
                <w:b/>
                <w:color w:val="000000"/>
              </w:rPr>
              <w:t xml:space="preserve"> </w:t>
            </w:r>
            <w:r>
              <w:rPr>
                <w:color w:val="000000"/>
              </w:rPr>
              <w:t xml:space="preserve">B pays to Party A: </w:t>
            </w:r>
          </w:p>
          <w:p>
            <w:pPr>
              <w:pStyle w:val="Normal"/>
              <w:spacing w:before="120" w:after="0"/>
              <w:ind w:start="720" w:end="0"/>
              <w:jc w:val="both"/>
              <w:rPr>
                <w:color w:val="000000"/>
              </w:rPr>
            </w:pPr>
            <w:r>
              <w:rPr>
                <w:color w:val="000000"/>
              </w:rPr>
              <w:t>Notional Amount x Swap Rate x Day Count</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spacing w:before="120" w:after="0"/>
              <w:rPr>
                <w:b/>
                <w:color w:val="000000"/>
              </w:rPr>
            </w:pPr>
            <w:r>
              <w:rPr>
                <w:b/>
                <w:color w:val="000000"/>
              </w:rPr>
              <w:t>Equity Payments:</w:t>
            </w:r>
          </w:p>
        </w:tc>
        <w:tc>
          <w:tcPr>
            <w:tcW w:w="7110" w:type="dxa"/>
            <w:tcBorders/>
          </w:tcPr>
          <w:p>
            <w:pPr>
              <w:pStyle w:val="Normal"/>
              <w:spacing w:before="120" w:after="0"/>
              <w:jc w:val="both"/>
              <w:rPr>
                <w:color w:val="000000"/>
              </w:rPr>
            </w:pPr>
            <w:r>
              <w:rPr>
                <w:color w:val="000000"/>
              </w:rPr>
              <w:t>On each Payment Date,</w:t>
            </w:r>
          </w:p>
          <w:p>
            <w:pPr>
              <w:pStyle w:val="Normal"/>
              <w:spacing w:before="120" w:after="0"/>
              <w:jc w:val="both"/>
              <w:rPr>
                <w:color w:val="000000"/>
              </w:rPr>
            </w:pPr>
            <w:r>
              <w:rPr>
                <w:color w:val="000000"/>
              </w:rPr>
              <w:t>Party A pays to Party B if positive:</w:t>
            </w:r>
          </w:p>
          <w:p>
            <w:pPr>
              <w:pStyle w:val="Normal"/>
              <w:spacing w:before="120" w:after="0"/>
              <w:ind w:start="720" w:end="0"/>
              <w:jc w:val="both"/>
              <w:rPr>
                <w:color w:val="000000"/>
              </w:rPr>
            </w:pPr>
            <w:r>
              <w:rPr>
                <w:color w:val="000000"/>
              </w:rPr>
              <w:t>Number of Shares x (Final Equity Level - Initial Equity Level)</w:t>
            </w:r>
          </w:p>
          <w:p>
            <w:pPr>
              <w:pStyle w:val="Normal"/>
              <w:spacing w:before="120" w:after="0"/>
              <w:jc w:val="both"/>
              <w:rPr>
                <w:color w:val="000000"/>
              </w:rPr>
            </w:pPr>
            <w:r>
              <w:rPr>
                <w:color w:val="000000"/>
              </w:rPr>
              <w:t>or, Party B pays to Party A if positive:</w:t>
            </w:r>
          </w:p>
          <w:p>
            <w:pPr>
              <w:pStyle w:val="Normal"/>
              <w:spacing w:before="120" w:after="0"/>
              <w:ind w:start="720" w:end="0"/>
              <w:jc w:val="both"/>
              <w:rPr>
                <w:color w:val="000000"/>
              </w:rPr>
            </w:pPr>
            <w:r>
              <w:rPr>
                <w:color w:val="000000"/>
              </w:rPr>
              <w:t>Number of Shares x (Initial Equity Level - Final Equity Level).</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Swap Rate:</w:t>
            </w:r>
          </w:p>
        </w:tc>
        <w:tc>
          <w:tcPr>
            <w:tcW w:w="7110" w:type="dxa"/>
            <w:tcBorders/>
          </w:tcPr>
          <w:p>
            <w:pPr>
              <w:pStyle w:val="Normal"/>
              <w:spacing w:before="120" w:after="0"/>
              <w:jc w:val="both"/>
              <w:rPr>
                <w:color w:val="000000"/>
              </w:rPr>
            </w:pPr>
            <w:r>
              <w:rPr>
                <w:color w:val="000000"/>
              </w:rPr>
              <w:t>1 Month LIBOR + Spread</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Spread:</w:t>
            </w:r>
          </w:p>
        </w:tc>
        <w:tc>
          <w:tcPr>
            <w:tcW w:w="7110" w:type="dxa"/>
            <w:tcBorders/>
          </w:tcPr>
          <w:p>
            <w:pPr>
              <w:pStyle w:val="Normal"/>
              <w:spacing w:before="120" w:after="0"/>
              <w:jc w:val="both"/>
              <w:rPr>
                <w:color w:val="000000"/>
              </w:rPr>
            </w:pPr>
            <w:r>
              <w:rPr>
                <w:color w:val="000000"/>
              </w:rPr>
              <w:t xml:space="preserve">60 bps </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Day Count:</w:t>
            </w:r>
          </w:p>
        </w:tc>
        <w:tc>
          <w:tcPr>
            <w:tcW w:w="7110" w:type="dxa"/>
            <w:tcBorders/>
          </w:tcPr>
          <w:p>
            <w:pPr>
              <w:pStyle w:val="Normal"/>
              <w:spacing w:before="120" w:after="0"/>
              <w:jc w:val="both"/>
              <w:rPr>
                <w:color w:val="000000"/>
              </w:rPr>
            </w:pPr>
            <w:r>
              <w:rPr>
                <w:color w:val="000000"/>
              </w:rPr>
              <w:t>Actual days in Calculation Period / 360</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Commissions:</w:t>
            </w:r>
          </w:p>
        </w:tc>
        <w:tc>
          <w:tcPr>
            <w:tcW w:w="7110" w:type="dxa"/>
            <w:tcBorders/>
          </w:tcPr>
          <w:p>
            <w:pPr>
              <w:pStyle w:val="Normal"/>
              <w:spacing w:before="120" w:after="0"/>
              <w:jc w:val="both"/>
              <w:rPr>
                <w:color w:val="000000"/>
              </w:rPr>
            </w:pPr>
            <w:r>
              <w:rPr>
                <w:color w:val="000000"/>
              </w:rPr>
              <w:t>$0.03 multiplied by Number of  Shares</w:t>
            </w:r>
          </w:p>
          <w:p>
            <w:pPr>
              <w:pStyle w:val="Normal"/>
              <w:spacing w:before="120" w:after="0"/>
              <w:jc w:val="both"/>
              <w:rPr>
                <w:color w:val="000000"/>
              </w:rPr>
            </w:pPr>
            <w:r>
              <w:rPr>
                <w:color w:val="000000"/>
              </w:rPr>
              <w:t>$0.06 multiplied by Number of  Shares for VWAP execution</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Netting of Payments:</w:t>
            </w:r>
          </w:p>
        </w:tc>
        <w:tc>
          <w:tcPr>
            <w:tcW w:w="7110" w:type="dxa"/>
            <w:tcBorders/>
          </w:tcPr>
          <w:p>
            <w:pPr>
              <w:pStyle w:val="Normal"/>
              <w:spacing w:before="120" w:after="0"/>
              <w:jc w:val="both"/>
              <w:rPr>
                <w:color w:val="000000"/>
              </w:rPr>
            </w:pPr>
            <w:r>
              <w:rPr>
                <w:color w:val="000000"/>
              </w:rPr>
              <w:t>Parties will net payments required on each Payment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tabs>
                <w:tab w:val="clear" w:pos="720"/>
                <w:tab w:val="left" w:pos="2538" w:leader="none"/>
                <w:tab w:val="left" w:pos="4428" w:leader="none"/>
                <w:tab w:val="left" w:pos="6318" w:leader="none"/>
                <w:tab w:val="left" w:pos="8208" w:leader="none"/>
                <w:tab w:val="left" w:pos="10098" w:leader="none"/>
              </w:tabs>
              <w:spacing w:before="120" w:after="0"/>
              <w:rPr>
                <w:b/>
                <w:color w:val="000000"/>
              </w:rPr>
            </w:pPr>
            <w:r>
              <w:rPr>
                <w:b/>
                <w:color w:val="000000"/>
              </w:rPr>
              <w:t>Dividend Payments:</w:t>
            </w:r>
          </w:p>
        </w:tc>
        <w:tc>
          <w:tcPr>
            <w:tcW w:w="7110" w:type="dxa"/>
            <w:tcBorders/>
          </w:tcPr>
          <w:p>
            <w:pPr>
              <w:pStyle w:val="Normal"/>
              <w:spacing w:before="120" w:after="0"/>
              <w:jc w:val="both"/>
              <w:rPr>
                <w:color w:val="000000"/>
              </w:rPr>
            </w:pPr>
            <w:r>
              <w:rPr>
                <w:color w:val="000000"/>
              </w:rPr>
              <w:t>Party A will pay dividends on Underlying Equity (for dividend ex-dates prior to Maturity) to Party B on the Payment Date immediately following the date that the dividends are payable to Holders of Record, any dividends on Underlying Equity, declared but not paid as of the Maturity Date shall be paid on the Maturity Date</w:t>
            </w:r>
          </w:p>
        </w:tc>
        <w:tc>
          <w:tcPr>
            <w:tcW w:w="90" w:type="dxa"/>
            <w:tcBorders/>
            <w:tcMar>
              <w:start w:w="0" w:type="dxa"/>
              <w:end w:w="0" w:type="dxa"/>
            </w:tcMar>
          </w:tcPr>
          <w:p>
            <w:pPr>
              <w:pStyle w:val="Normal"/>
              <w:snapToGrid w:val="false"/>
              <w:rPr>
                <w:color w:val="000000"/>
              </w:rPr>
            </w:pPr>
            <w:r>
              <w:rPr>
                <w:color w:val="000000"/>
              </w:rPr>
            </w:r>
          </w:p>
        </w:tc>
      </w:tr>
      <w:tr>
        <w:trPr/>
        <w:tc>
          <w:tcPr>
            <w:tcW w:w="3690" w:type="dxa"/>
            <w:tcBorders/>
          </w:tcPr>
          <w:p>
            <w:pPr>
              <w:pStyle w:val="Normal"/>
              <w:spacing w:before="120" w:after="0"/>
              <w:rPr>
                <w:b/>
                <w:color w:val="000000"/>
              </w:rPr>
            </w:pPr>
            <w:r>
              <w:rPr>
                <w:b/>
                <w:color w:val="000000"/>
              </w:rPr>
              <w:t>Transferability:</w:t>
            </w:r>
          </w:p>
        </w:tc>
        <w:tc>
          <w:tcPr>
            <w:tcW w:w="7200" w:type="dxa"/>
            <w:gridSpan w:val="2"/>
            <w:tcBorders/>
          </w:tcPr>
          <w:p>
            <w:pPr>
              <w:pStyle w:val="Normal"/>
              <w:spacing w:before="120" w:after="0"/>
              <w:jc w:val="both"/>
              <w:rPr/>
            </w:pPr>
            <w:r>
              <w:rPr>
                <w:color w:val="000000"/>
              </w:rPr>
              <w:t>Neither party may transfer its rights or obligations under this Transaction except in accordance with Section 7 of the Master Agreement;</w:t>
            </w:r>
            <w:r>
              <w:rPr>
                <w:i/>
                <w:color w:val="000000"/>
              </w:rPr>
              <w:t xml:space="preserve"> provided however </w:t>
            </w:r>
            <w:r>
              <w:rPr>
                <w:color w:val="000000"/>
              </w:rPr>
              <w:t>that ML may assign its rights and delegate its obligations hereunder, in whole or in part, to any affiliate (an "Assignee") of Merrill Lynch &amp; Co., Inc. ("ML&amp;Co."), effective (the "Transfer Effective Date") upon delivery to Party A of (a) an executed acceptance and assumption by the Assignee (an "Assumption") of the transferred obligations of ML under this Transaction (the "Transferred Obligations");  (b) and an executed guarantee (the "Guarantee") of ML&amp;Co. of the Transferred Obligations.  On the Transfer Effective Date, (a) ML shall be released from all obligations and liabilities arising under the Transferred Obligations; and (b) the Transferred Obligations shall cease to be a Transaction(s) under the Agreement and shall be deemed to be a Transaction(s) under the ISDA Master Agreement between Assignee and Party A, provided that, if at such time Assignee and Party A have not entered into a ISDA Master Agreement, Assignee and Party A</w:t>
            </w:r>
            <w:r>
              <w:rPr>
                <w:b/>
                <w:i/>
                <w:color w:val="000000"/>
              </w:rPr>
              <w:t xml:space="preserve"> </w:t>
            </w:r>
            <w:r>
              <w:rPr>
                <w:color w:val="000000"/>
              </w:rPr>
              <w:t>shall be deemed to have entered into an ISDA form of Master Agreement (Multicurrency-Cross Border) without any Schedule attached thereto.</w:t>
            </w:r>
          </w:p>
        </w:tc>
      </w:tr>
      <w:tr>
        <w:trPr/>
        <w:tc>
          <w:tcPr>
            <w:tcW w:w="3690" w:type="dxa"/>
            <w:tcBorders/>
          </w:tcPr>
          <w:p>
            <w:pPr>
              <w:pStyle w:val="Normal"/>
              <w:spacing w:before="120" w:after="0"/>
              <w:rPr>
                <w:b/>
                <w:color w:val="000000"/>
              </w:rPr>
            </w:pPr>
            <w:r>
              <w:rPr>
                <w:b/>
                <w:color w:val="000000"/>
              </w:rPr>
              <w:t>Documentation:</w:t>
            </w:r>
          </w:p>
        </w:tc>
        <w:tc>
          <w:tcPr>
            <w:tcW w:w="7200" w:type="dxa"/>
            <w:gridSpan w:val="2"/>
            <w:tcBorders/>
          </w:tcPr>
          <w:p>
            <w:pPr>
              <w:pStyle w:val="Normal"/>
              <w:spacing w:before="120" w:after="0"/>
              <w:jc w:val="both"/>
              <w:rPr>
                <w:color w:val="000000"/>
              </w:rPr>
            </w:pPr>
            <w:r>
              <w:rPr>
                <w:color w:val="000000"/>
              </w:rPr>
              <w:t>International Swap Dealers Association (“ISDA”) Master Agreement and Credit Annex, Equity Swap Confirmation.  In the event that Documentation is not executed within 20 days of the Effective Date, Party A has the right to terminate the transaction.</w:t>
            </w:r>
          </w:p>
        </w:tc>
      </w:tr>
    </w:tbl>
    <w:p>
      <w:pPr>
        <w:pStyle w:val="BodyText2"/>
        <w:ind w:end="0"/>
        <w:rPr>
          <w:b/>
          <w:i/>
          <w:i/>
          <w:color w:val="000000"/>
          <w:sz w:val="18"/>
        </w:rPr>
      </w:pPr>
      <w:r>
        <w:rPr>
          <w:b/>
          <w:sz w:val="18"/>
        </w:rPr>
        <w:t>This term sheet serves as the agreement between Party A and Party B during the initial hedge period of the above transaction until a formal confirmation can be executed.   Party B agrees to these terms and agrees to indemnify Party A for any losses arising from Party B’s failure to perform its obligations hereunder, including any failure to enter into the definitive documentation described in “Documentation” above.  Party B also represents to Party A that it is not relying on any communication (written or oral) of Party A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by Party B from Party A shall be deemed to be an assurance or guarantee as to the expected results of this Transaction.   Party B represents and warrants that it is legally and financially able to enter into the above transaction and that the signatory to this document is authorized to transact on Party B’s behalf.</w:t>
      </w:r>
    </w:p>
    <w:p>
      <w:pPr>
        <w:pStyle w:val="Normal"/>
        <w:spacing w:before="240" w:after="0"/>
        <w:ind w:end="-630"/>
        <w:jc w:val="both"/>
        <w:rPr>
          <w:b/>
          <w:i/>
          <w:i/>
          <w:color w:val="000000"/>
        </w:rPr>
      </w:pPr>
      <w:r>
        <w:rPr>
          <w:b/>
          <w:i/>
          <w:color w:val="000000"/>
        </w:rPr>
        <w:t>For Enron Corp.  by:</w:t>
        <w:tab/>
        <w:tab/>
        <w:tab/>
        <w:t>Date:</w:t>
        <w:tab/>
        <w:tab/>
        <w:t>Print Name:</w:t>
        <w:tab/>
        <w:tab/>
        <w:t xml:space="preserve"> </w:t>
        <w:tab/>
        <w:t>Title:</w:t>
      </w:r>
    </w:p>
    <w:p>
      <w:pPr>
        <w:pStyle w:val="Normal"/>
        <w:spacing w:before="240" w:after="0"/>
        <w:ind w:end="-630"/>
        <w:jc w:val="both"/>
        <w:rPr>
          <w:b/>
          <w:i/>
          <w:i/>
          <w:color w:val="000000"/>
        </w:rPr>
      </w:pPr>
      <w:r>
        <w:rPr>
          <w:b/>
          <w:i/>
          <w:color w:val="000000"/>
        </w:rPr>
      </w:r>
    </w:p>
    <w:p>
      <w:pPr>
        <w:pStyle w:val="Normal"/>
        <w:spacing w:before="240" w:after="0"/>
        <w:ind w:start="-540" w:end="-630"/>
        <w:jc w:val="both"/>
        <w:rPr>
          <w:b/>
          <w:i/>
          <w:i/>
          <w:color w:val="000000"/>
          <w:sz w:val="16"/>
        </w:rPr>
      </w:pPr>
      <w:r>
        <w:rPr>
          <w:b/>
          <w:i/>
          <w:color w:val="000000"/>
          <w:sz w:val="16"/>
        </w:rPr>
      </w:r>
    </w:p>
    <w:p>
      <w:pPr>
        <w:pStyle w:val="Normal"/>
        <w:spacing w:before="240" w:after="0"/>
        <w:ind w:end="-630"/>
        <w:rPr>
          <w:b/>
          <w:i/>
          <w:i/>
          <w:color w:val="000000"/>
          <w:sz w:val="16"/>
        </w:rPr>
      </w:pPr>
      <w:r>
        <w:rPr>
          <w:b/>
          <w:i/>
          <w:color w:val="000000"/>
          <w:sz w:val="16"/>
        </w:rPr>
        <w:t>_DRAFT________________________</w:t>
        <w:tab/>
        <w:tab/>
        <w:t>_________</w:t>
        <w:tab/>
        <w:t xml:space="preserve">__________________________  </w:t>
        <w:tab/>
        <w:t>___________________</w:t>
      </w:r>
    </w:p>
    <w:sectPr>
      <w:headerReference w:type="default" r:id="rId2"/>
      <w:footerReference w:type="default" r:id="rId3"/>
      <w:type w:val="continuous"/>
      <w:pgSz w:w="12240" w:h="15840"/>
      <w:pgMar w:left="1440" w:right="1440" w:gutter="0" w:header="720" w:top="776" w:footer="720" w:bottom="936"/>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240" w:after="0"/>
      <w:ind w:start="-540" w:end="-630"/>
      <w:rPr>
        <w:i/>
        <w:i/>
        <w:sz w:val="16"/>
      </w:rPr>
    </w:pPr>
    <w:r>
      <w:rPr>
        <w:i/>
        <w:sz w:val="16"/>
      </w:rPr>
      <w:t>This term sheet is for discussion purposes only.  Under no circumstances may a copy of this  term sheet be shown, copied, transmitted or otherwise given to any person other than your authorized representatives.  Under no circumstances is this  term sheet  to be used or considered as an offer to sell or as a solicitation of an offer to buy any security.  This material is for your private information, and we are not soliciting any action based upon it.  Certain transactions may give rise to substantial risk and are not suitable for all investors.  Opinions expressed are our present opinions only.  The material is based upon information that we consider reliable, but we do not represent that it is accurate or complete, and it should not be relied upon as such.  We or persons involved in the preparation of issuance of this material, may from time to time have long or short positions in, and buy or sell, securities, futures, or options related to those mentioned herein.</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
      </w:rPr>
    </w:pPr>
    <w:r>
      <w:rPr>
        <w:sz w:val="2"/>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tbl>
    <w:tblPr>
      <w:tblW w:w="10260" w:type="dxa"/>
      <w:jc w:val="start"/>
      <w:tblInd w:w="-522" w:type="dxa"/>
      <w:tblLayout w:type="fixed"/>
      <w:tblCellMar>
        <w:top w:w="0" w:type="dxa"/>
        <w:start w:w="108" w:type="dxa"/>
        <w:bottom w:w="0" w:type="dxa"/>
        <w:end w:w="108" w:type="dxa"/>
      </w:tblCellMar>
    </w:tblPr>
    <w:tblGrid>
      <w:gridCol w:w="1213"/>
      <w:gridCol w:w="9047"/>
    </w:tblGrid>
    <w:tr>
      <w:trPr>
        <w:trHeight w:val="1170" w:hRule="atLeast"/>
      </w:trPr>
      <w:tc>
        <w:tcPr>
          <w:tcW w:w="1213" w:type="dxa"/>
          <w:tcBorders/>
        </w:tcPr>
        <w:p>
          <w:pPr>
            <w:pStyle w:val="CompanyName"/>
            <w:spacing w:before="0" w:after="0"/>
            <w:ind w:end="360"/>
            <w:jc w:val="start"/>
            <w:rPr>
              <w:b/>
              <w:color w:val="000000"/>
              <w:sz w:val="12"/>
            </w:rPr>
          </w:pPr>
          <w:r>
            <w:rPr>
              <w:color w:val="000000"/>
              <w:sz w:val="32"/>
            </w:rPr>
            <w:object w:dxaOrig="986" w:dyaOrig="106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49.3pt;height:53.25pt" filled="f" o:ole="">
                <v:imagedata r:id="rId2" o:title=""/>
              </v:shape>
              <o:OLEObject Type="Embed" ProgID="" ShapeID="ole_rId1" DrawAspect="Content" ObjectID="_234487899" r:id="rId1"/>
            </w:object>
          </w:r>
        </w:p>
      </w:tc>
      <w:tc>
        <w:tcPr>
          <w:tcW w:w="9047" w:type="dxa"/>
          <w:tcBorders/>
        </w:tcPr>
        <w:p>
          <w:pPr>
            <w:pStyle w:val="CompanyName"/>
            <w:tabs>
              <w:tab w:val="clear" w:pos="720"/>
              <w:tab w:val="left" w:pos="6509" w:leader="none"/>
            </w:tabs>
            <w:spacing w:before="320" w:after="0"/>
            <w:jc w:val="start"/>
            <w:rPr>
              <w:rFonts w:ascii="Times New Roman" w:hAnsi="Times New Roman" w:cs="Times New Roman"/>
              <w:b/>
              <w:caps w:val="false"/>
              <w:smallCaps w:val="false"/>
              <w:color w:val="000000"/>
              <w:spacing w:val="0"/>
              <w:sz w:val="32"/>
            </w:rPr>
          </w:pPr>
          <w:r>
            <w:rPr>
              <w:rFonts w:cs="Times New Roman" w:ascii="Times New Roman" w:hAnsi="Times New Roman"/>
              <w:b/>
              <w:caps w:val="false"/>
              <w:smallCaps w:val="false"/>
              <w:color w:val="000000"/>
              <w:spacing w:val="0"/>
              <w:sz w:val="32"/>
            </w:rPr>
            <w:t xml:space="preserve">Merrill Lynch                                                 DRAFT                 </w:t>
          </w:r>
        </w:p>
        <w:p>
          <w:pPr>
            <w:pStyle w:val="CompanyName"/>
            <w:spacing w:lineRule="auto" w:line="240" w:before="0" w:after="0"/>
            <w:jc w:val="start"/>
            <w:rPr>
              <w:rFonts w:ascii="Times New Roman" w:hAnsi="Times New Roman" w:cs="Times New Roman"/>
              <w:b/>
              <w:caps w:val="false"/>
              <w:smallCaps w:val="false"/>
              <w:color w:val="000000"/>
              <w:spacing w:val="0"/>
              <w:sz w:val="32"/>
            </w:rPr>
          </w:pPr>
          <w:r>
            <w:rPr>
              <w:rFonts w:cs="Times New Roman" w:ascii="Times New Roman" w:hAnsi="Times New Roman"/>
              <w:b/>
              <w:i/>
              <w:caps w:val="false"/>
              <w:smallCaps w:val="false"/>
              <w:color w:val="000000"/>
              <w:spacing w:val="0"/>
              <w:sz w:val="32"/>
            </w:rPr>
            <w:t>Client Strategies Group</w:t>
          </w:r>
        </w:p>
      </w:tc>
    </w:tr>
  </w:tbl>
  <w:p>
    <w:pPr>
      <w:pStyle w:val="Caption"/>
      <w:spacing w:before="120" w:after="0"/>
      <w:rPr>
        <w:color w:val="000000"/>
      </w:rPr>
    </w:pPr>
    <w:r>
      <w:rPr>
        <w:color w:val="000000"/>
      </w:rPr>
      <w:t>Enron Corporation</w:t>
    </w:r>
  </w:p>
  <w:p>
    <w:pPr>
      <w:pStyle w:val="Normal"/>
      <w:jc w:val="center"/>
      <w:rPr>
        <w:b/>
        <w:color w:val="000000"/>
        <w:sz w:val="28"/>
      </w:rPr>
    </w:pPr>
    <w:r>
      <w:rPr>
        <w:b/>
        <w:color w:val="000000"/>
        <w:sz w:val="28"/>
      </w:rPr>
      <w:t>Total Return Swap on</w:t>
    </w:r>
  </w:p>
  <w:p>
    <w:pPr>
      <w:pStyle w:val="Normal"/>
      <w:jc w:val="center"/>
      <w:rPr>
        <w:b/>
        <w:color w:val="000000"/>
        <w:sz w:val="24"/>
      </w:rPr>
    </w:pPr>
    <w:r>
      <w:rPr>
        <w:b/>
        <w:color w:val="000000"/>
        <w:sz w:val="28"/>
      </w:rPr>
      <w:t xml:space="preserve">     </w:t>
    </w:r>
    <w:r>
      <w:rPr>
        <w:b/>
        <w:color w:val="000000"/>
        <w:sz w:val="28"/>
      </w:rPr>
      <w:t>Enron Corp.</w:t>
    </w:r>
  </w:p>
  <w:p>
    <w:pPr>
      <w:pStyle w:val="Normal"/>
      <w:jc w:val="center"/>
      <w:rPr/>
    </w:pPr>
    <w:r>
      <w:rPr/>
      <w:t xml:space="preserve">        </w:t>
    </w:r>
    <w:r>
      <w:rPr/>
      <w:t>Indicative Terms on May 24, 2000</w:t>
    </w:r>
  </w:p>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outlineLvl w:val="0"/>
    </w:pPr>
    <w:rPr>
      <w:b/>
    </w:rPr>
  </w:style>
  <w:style w:type="paragraph" w:styleId="Heading2">
    <w:name w:val="heading 2"/>
    <w:basedOn w:val="Normal"/>
    <w:next w:val="Normal"/>
    <w:qFormat/>
    <w:pPr>
      <w:keepNext w:val="true"/>
      <w:numPr>
        <w:ilvl w:val="1"/>
        <w:numId w:val="1"/>
      </w:numPr>
      <w:tabs>
        <w:tab w:val="clear" w:pos="720"/>
        <w:tab w:val="left" w:pos="2322" w:leader="none"/>
        <w:tab w:val="left" w:pos="4536" w:leader="none"/>
        <w:tab w:val="left" w:pos="6750" w:leader="none"/>
        <w:tab w:val="left" w:pos="8964" w:leader="none"/>
      </w:tabs>
      <w:outlineLvl w:val="1"/>
    </w:pPr>
    <w:rPr>
      <w:u w:val="single"/>
      <w:lang w:eastAsia="en-US"/>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spacing w:before="360" w:after="0"/>
      <w:jc w:val="center"/>
    </w:pPr>
    <w:rPr>
      <w:b/>
      <w:color w:val="0000FF"/>
      <w:sz w:val="32"/>
    </w:rPr>
  </w:style>
  <w:style w:type="paragraph" w:styleId="Index">
    <w:name w:val="Index"/>
    <w:basedOn w:val="Normal"/>
    <w:qFormat/>
    <w:pPr>
      <w:suppressLineNumbers/>
    </w:pPr>
    <w:rPr>
      <w:rFonts w:cs="NotoSans NF"/>
    </w:rPr>
  </w:style>
  <w:style w:type="paragraph" w:styleId="CompanyName">
    <w:name w:val="Company Name"/>
    <w:basedOn w:val="BodyText"/>
    <w:qFormat/>
    <w:pPr>
      <w:keepLines/>
      <w:spacing w:lineRule="atLeast" w:line="240" w:before="0" w:after="80"/>
      <w:jc w:val="center"/>
    </w:pPr>
    <w:rPr>
      <w:rFonts w:ascii="Garamond" w:hAnsi="Garamond" w:cs="Garamond"/>
      <w:caps/>
      <w:spacing w:val="75"/>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3">
    <w:name w:val="Body Text Indent 3"/>
    <w:basedOn w:val="Normal"/>
    <w:qFormat/>
    <w:pPr>
      <w:ind w:hanging="2880" w:start="2880" w:end="0"/>
    </w:pPr>
    <w:rPr>
      <w:u w:val="single"/>
      <w:lang w:eastAsia="en-US"/>
    </w:rPr>
  </w:style>
  <w:style w:type="paragraph" w:styleId="BodyTextIndent">
    <w:name w:val="Body Text Indent"/>
    <w:basedOn w:val="Normal"/>
    <w:pPr>
      <w:ind w:hanging="18" w:start="0" w:end="0"/>
      <w:jc w:val="both"/>
    </w:pPr>
    <w:rPr/>
  </w:style>
  <w:style w:type="paragraph" w:styleId="BodyText2">
    <w:name w:val="Body Text 2"/>
    <w:basedOn w:val="Normal"/>
    <w:qFormat/>
    <w:pPr>
      <w:spacing w:before="120" w:after="0"/>
      <w:ind w:hanging="0" w:start="0" w:end="630"/>
      <w:jc w:val="both"/>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2000-05-24T17:53:00Z</dcterms:created>
  <dc:creator>Global Equity Derivatives</dc:creator>
  <dc:description/>
  <dc:language>en-CA</dc:language>
  <cp:lastModifiedBy>pbarna</cp:lastModifiedBy>
  <cp:lastPrinted>2000-05-24T18:31:00Z</cp:lastPrinted>
  <dcterms:modified xsi:type="dcterms:W3CDTF">2000-05-24T20:09:00Z</dcterms:modified>
  <cp:revision>18</cp:revision>
  <dc:subject/>
  <dc:title>SWAP Terms</dc:title>
</cp:coreProperties>
</file>