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ind w:firstLine="720" w:start="2880" w:end="0"/>
        <w:jc w:val="start"/>
        <w:rPr>
          <w:color w:val="000000"/>
          <w:sz w:val="32"/>
          <w:u w:val="none"/>
        </w:rPr>
      </w:pPr>
      <w:r>
        <w:rPr>
          <w:color w:val="000000"/>
          <w:sz w:val="32"/>
          <w:u w:val="none"/>
        </w:rPr>
        <w:t>Enron North America Corp.</w:t>
      </w:r>
    </w:p>
    <w:p>
      <w:pPr>
        <w:pStyle w:val="Subtitle"/>
        <w:spacing w:before="0" w:after="0"/>
        <w:rPr>
          <w:sz w:val="24"/>
        </w:rPr>
      </w:pPr>
      <w:r>
        <w:rPr/>
        <w:t>Forward Purchase Contract</w:t>
      </w:r>
    </w:p>
    <w:p>
      <w:pPr>
        <w:pStyle w:val="Normal"/>
        <w:ind w:firstLine="720" w:start="2880" w:end="0"/>
        <w:rPr/>
      </w:pPr>
      <w:r>
        <w:rPr/>
        <w:tab/>
        <w:t>Terms as of August 7, 2000</w:t>
      </w:r>
    </w:p>
    <w:p>
      <w:pPr>
        <w:pStyle w:val="Normal"/>
        <w:ind w:firstLine="720" w:start="2880" w:end="0"/>
        <w:rPr/>
      </w:pPr>
      <w:r>
        <w:rPr/>
      </w:r>
    </w:p>
    <w:p>
      <w:pPr>
        <w:pStyle w:val="BodyTextIndent2"/>
        <w:rPr/>
      </w:pPr>
      <w:r>
        <w:rPr/>
      </w:r>
    </w:p>
    <w:tbl>
      <w:tblPr>
        <w:tblW w:w="10170" w:type="dxa"/>
        <w:jc w:val="start"/>
        <w:tblInd w:w="18" w:type="dxa"/>
        <w:tblLayout w:type="fixed"/>
        <w:tblCellMar>
          <w:top w:w="0" w:type="dxa"/>
          <w:start w:w="108" w:type="dxa"/>
          <w:bottom w:w="0" w:type="dxa"/>
          <w:end w:w="108" w:type="dxa"/>
        </w:tblCellMar>
      </w:tblPr>
      <w:tblGrid>
        <w:gridCol w:w="3870"/>
        <w:gridCol w:w="6"/>
        <w:gridCol w:w="6294"/>
      </w:tblGrid>
      <w:tr>
        <w:trPr/>
        <w:tc>
          <w:tcPr>
            <w:tcW w:w="3876" w:type="dxa"/>
            <w:gridSpan w:val="2"/>
            <w:tcBorders/>
          </w:tcPr>
          <w:p>
            <w:pPr>
              <w:pStyle w:val="Normal"/>
              <w:spacing w:before="120" w:after="0"/>
              <w:rPr>
                <w:b/>
              </w:rPr>
            </w:pPr>
            <w:r>
              <w:rPr>
                <w:b/>
              </w:rPr>
              <w:t>Party A:</w:t>
            </w:r>
          </w:p>
        </w:tc>
        <w:tc>
          <w:tcPr>
            <w:tcW w:w="6294" w:type="dxa"/>
            <w:tcBorders/>
          </w:tcPr>
          <w:p>
            <w:pPr>
              <w:pStyle w:val="Header"/>
              <w:tabs>
                <w:tab w:val="clear" w:pos="4320"/>
                <w:tab w:val="clear" w:pos="8640"/>
              </w:tabs>
              <w:spacing w:before="120" w:after="0"/>
              <w:rPr/>
            </w:pPr>
            <w:r>
              <w:rPr/>
              <w:t xml:space="preserve">Merrill Lynch International (“MLI”), with the full guarantee of Merrill Lynch &amp; Co. </w:t>
            </w:r>
          </w:p>
        </w:tc>
      </w:tr>
      <w:tr>
        <w:trPr/>
        <w:tc>
          <w:tcPr>
            <w:tcW w:w="3876" w:type="dxa"/>
            <w:gridSpan w:val="2"/>
            <w:tcBorders/>
          </w:tcPr>
          <w:p>
            <w:pPr>
              <w:pStyle w:val="Normal"/>
              <w:spacing w:before="120" w:after="0"/>
              <w:rPr>
                <w:b/>
              </w:rPr>
            </w:pPr>
            <w:r>
              <w:rPr>
                <w:b/>
              </w:rPr>
              <w:t>Party B:</w:t>
            </w:r>
          </w:p>
        </w:tc>
        <w:tc>
          <w:tcPr>
            <w:tcW w:w="6294" w:type="dxa"/>
            <w:tcBorders/>
          </w:tcPr>
          <w:p>
            <w:pPr>
              <w:pStyle w:val="Normal"/>
              <w:spacing w:before="120" w:after="0"/>
              <w:rPr/>
            </w:pPr>
            <w:r>
              <w:rPr/>
              <w:t>Enron North America Corp., with the guarantee of Enron Corp., such guarantee shall be limited to $75mm</w:t>
            </w:r>
          </w:p>
        </w:tc>
      </w:tr>
      <w:tr>
        <w:trPr/>
        <w:tc>
          <w:tcPr>
            <w:tcW w:w="3876" w:type="dxa"/>
            <w:gridSpan w:val="2"/>
            <w:tcBorders/>
          </w:tcPr>
          <w:p>
            <w:pPr>
              <w:pStyle w:val="Normal"/>
              <w:spacing w:before="120" w:after="0"/>
              <w:rPr>
                <w:b/>
              </w:rPr>
            </w:pPr>
            <w:r>
              <w:rPr>
                <w:b/>
              </w:rPr>
              <w:t>Notional Amount:</w:t>
            </w:r>
          </w:p>
        </w:tc>
        <w:tc>
          <w:tcPr>
            <w:tcW w:w="6294" w:type="dxa"/>
            <w:tcBorders/>
          </w:tcPr>
          <w:p>
            <w:pPr>
              <w:pStyle w:val="Normal"/>
              <w:spacing w:before="120" w:after="0"/>
              <w:rPr>
                <w:color w:val="000000"/>
              </w:rPr>
            </w:pPr>
            <w:r>
              <w:rPr>
                <w:color w:val="000000"/>
              </w:rPr>
              <w:t xml:space="preserve">[$109,833,412.50] </w:t>
            </w:r>
          </w:p>
        </w:tc>
      </w:tr>
      <w:tr>
        <w:trPr>
          <w:trHeight w:val="360" w:hRule="atLeast"/>
        </w:trPr>
        <w:tc>
          <w:tcPr>
            <w:tcW w:w="3876" w:type="dxa"/>
            <w:gridSpan w:val="2"/>
            <w:tcBorders/>
          </w:tcPr>
          <w:p>
            <w:pPr>
              <w:pStyle w:val="Normal"/>
              <w:spacing w:before="100" w:after="0"/>
              <w:rPr>
                <w:b/>
              </w:rPr>
            </w:pPr>
            <w:r>
              <w:rPr>
                <w:b/>
              </w:rPr>
              <w:t>Notional Shares:</w:t>
            </w:r>
          </w:p>
        </w:tc>
        <w:tc>
          <w:tcPr>
            <w:tcW w:w="6294" w:type="dxa"/>
            <w:tcBorders/>
          </w:tcPr>
          <w:p>
            <w:pPr>
              <w:pStyle w:val="Normal"/>
              <w:spacing w:before="100" w:after="0"/>
              <w:rPr>
                <w:color w:val="000000"/>
              </w:rPr>
            </w:pPr>
            <w:r>
              <w:rPr>
                <w:color w:val="000000"/>
              </w:rPr>
              <w:t xml:space="preserve">[1,388,100] shares </w:t>
            </w:r>
          </w:p>
        </w:tc>
      </w:tr>
      <w:tr>
        <w:trPr>
          <w:trHeight w:val="360" w:hRule="atLeast"/>
        </w:trPr>
        <w:tc>
          <w:tcPr>
            <w:tcW w:w="3876" w:type="dxa"/>
            <w:gridSpan w:val="2"/>
            <w:tcBorders/>
          </w:tcPr>
          <w:p>
            <w:pPr>
              <w:pStyle w:val="Normal"/>
              <w:spacing w:before="100" w:after="0"/>
              <w:rPr>
                <w:b/>
              </w:rPr>
            </w:pPr>
            <w:r>
              <w:rPr>
                <w:b/>
              </w:rPr>
              <w:t>Underlying Equity:</w:t>
            </w:r>
          </w:p>
        </w:tc>
        <w:tc>
          <w:tcPr>
            <w:tcW w:w="6294" w:type="dxa"/>
            <w:tcBorders/>
          </w:tcPr>
          <w:p>
            <w:pPr>
              <w:pStyle w:val="Normal"/>
              <w:spacing w:before="100" w:after="0"/>
              <w:rPr/>
            </w:pPr>
            <w:r>
              <w:rPr>
                <w:color w:val="000000"/>
              </w:rPr>
              <w:t>Common Stock of Enron Corp.</w:t>
            </w:r>
            <w:r>
              <w:rPr/>
              <w:t xml:space="preserve"> </w:t>
            </w:r>
            <w:r>
              <w:rPr>
                <w:color w:val="000000"/>
              </w:rPr>
              <w:t xml:space="preserve">(“ENE”, NYSE)  (the “Shares”) </w:t>
            </w:r>
          </w:p>
        </w:tc>
      </w:tr>
      <w:tr>
        <w:trPr/>
        <w:tc>
          <w:tcPr>
            <w:tcW w:w="3876" w:type="dxa"/>
            <w:gridSpan w:val="2"/>
            <w:tcBorders/>
          </w:tcPr>
          <w:p>
            <w:pPr>
              <w:pStyle w:val="Normal"/>
              <w:spacing w:before="120" w:after="0"/>
              <w:rPr>
                <w:b/>
              </w:rPr>
            </w:pPr>
            <w:r>
              <w:rPr>
                <w:b/>
              </w:rPr>
              <w:t>Trade Date:</w:t>
            </w:r>
          </w:p>
        </w:tc>
        <w:tc>
          <w:tcPr>
            <w:tcW w:w="6294" w:type="dxa"/>
            <w:tcBorders/>
          </w:tcPr>
          <w:p>
            <w:pPr>
              <w:pStyle w:val="Normal"/>
              <w:spacing w:before="120" w:after="0"/>
              <w:rPr>
                <w:color w:val="000000"/>
              </w:rPr>
            </w:pPr>
            <w:r>
              <w:rPr>
                <w:color w:val="000000"/>
              </w:rPr>
              <w:t>August [  ], 2000</w:t>
            </w:r>
          </w:p>
        </w:tc>
      </w:tr>
      <w:tr>
        <w:trPr>
          <w:trHeight w:val="360" w:hRule="atLeast"/>
        </w:trPr>
        <w:tc>
          <w:tcPr>
            <w:tcW w:w="3876" w:type="dxa"/>
            <w:gridSpan w:val="2"/>
            <w:tcBorders/>
          </w:tcPr>
          <w:p>
            <w:pPr>
              <w:pStyle w:val="Normal"/>
              <w:spacing w:before="120" w:after="0"/>
              <w:rPr>
                <w:b/>
              </w:rPr>
            </w:pPr>
            <w:r>
              <w:rPr>
                <w:b/>
              </w:rPr>
              <w:t>Maturity Date:</w:t>
            </w:r>
          </w:p>
        </w:tc>
        <w:tc>
          <w:tcPr>
            <w:tcW w:w="6294" w:type="dxa"/>
            <w:tcBorders/>
          </w:tcPr>
          <w:p>
            <w:pPr>
              <w:pStyle w:val="Normal"/>
              <w:spacing w:before="120" w:after="0"/>
              <w:rPr>
                <w:color w:val="000000"/>
              </w:rPr>
            </w:pPr>
            <w:r>
              <w:rPr>
                <w:color w:val="000000"/>
              </w:rPr>
              <w:t xml:space="preserve">August [  ], 2001, 1 Year after the Effective Date, </w:t>
            </w:r>
          </w:p>
        </w:tc>
      </w:tr>
      <w:tr>
        <w:trPr/>
        <w:tc>
          <w:tcPr>
            <w:tcW w:w="3876" w:type="dxa"/>
            <w:gridSpan w:val="2"/>
            <w:tcBorders/>
          </w:tcPr>
          <w:p>
            <w:pPr>
              <w:pStyle w:val="Normal"/>
              <w:spacing w:before="120" w:after="0"/>
              <w:rPr>
                <w:b/>
              </w:rPr>
            </w:pPr>
            <w:r>
              <w:rPr>
                <w:b/>
              </w:rPr>
              <w:t>Initial Equity Level:</w:t>
            </w:r>
          </w:p>
        </w:tc>
        <w:tc>
          <w:tcPr>
            <w:tcW w:w="6294" w:type="dxa"/>
            <w:tcBorders/>
          </w:tcPr>
          <w:p>
            <w:pPr>
              <w:pStyle w:val="Header"/>
              <w:tabs>
                <w:tab w:val="clear" w:pos="4320"/>
                <w:tab w:val="clear" w:pos="8640"/>
              </w:tabs>
              <w:spacing w:before="120" w:after="0"/>
              <w:rPr>
                <w:color w:val="000000"/>
              </w:rPr>
            </w:pPr>
            <w:r>
              <w:rPr>
                <w:color w:val="000000"/>
              </w:rPr>
              <w:t>For the first Calculation Date, [$79.125], the daily high price as reported on August 4, 2000 in Bloomberg’s  &lt;ENE&gt; Equity QR page;</w:t>
            </w:r>
          </w:p>
          <w:p>
            <w:pPr>
              <w:pStyle w:val="Header"/>
              <w:tabs>
                <w:tab w:val="clear" w:pos="4320"/>
                <w:tab w:val="clear" w:pos="8640"/>
              </w:tabs>
              <w:spacing w:before="120" w:after="0"/>
              <w:rPr>
                <w:color w:val="000000"/>
              </w:rPr>
            </w:pPr>
            <w:r>
              <w:rPr>
                <w:color w:val="000000"/>
              </w:rPr>
              <w:t>For each subsequent Calculation Date, the Forward Price on the previous Calculation Date</w:t>
            </w:r>
          </w:p>
        </w:tc>
      </w:tr>
      <w:tr>
        <w:trPr/>
        <w:tc>
          <w:tcPr>
            <w:tcW w:w="3876" w:type="dxa"/>
            <w:gridSpan w:val="2"/>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rPr>
            </w:pPr>
            <w:r>
              <w:rPr>
                <w:b/>
              </w:rPr>
              <w:t>Final Equity Level:</w:t>
            </w:r>
          </w:p>
        </w:tc>
        <w:tc>
          <w:tcPr>
            <w:tcW w:w="6294" w:type="dxa"/>
            <w:tcBorders/>
          </w:tcPr>
          <w:p>
            <w:pPr>
              <w:pStyle w:val="Header"/>
              <w:tabs>
                <w:tab w:val="clear" w:pos="4320"/>
                <w:tab w:val="clear" w:pos="8640"/>
              </w:tabs>
              <w:spacing w:before="120" w:after="0"/>
              <w:rPr/>
            </w:pPr>
            <w:r>
              <w:rPr/>
              <w:t>For the Maturity Date, if Party B elects Net Stock or Net Cash Settlement, the Final Equity Level shall be determined based on the arithmetic average of the volume weighted average prices (VWAP) of the Underlying Equity in the market for the 3 or 5 Trading Days (at Party A’s option made on or before the Maturity Date) subsequent to the Maturity Date adjusted down for a). carry for the Shares from each daily settlement date until the final date of the Net Stock Settlement period applying overnight Federal Funds Rates  plus the Spread and b) Commissions.</w:t>
            </w:r>
          </w:p>
          <w:p>
            <w:pPr>
              <w:pStyle w:val="Header"/>
              <w:tabs>
                <w:tab w:val="clear" w:pos="4320"/>
                <w:tab w:val="clear" w:pos="8640"/>
              </w:tabs>
              <w:spacing w:before="120" w:after="0"/>
              <w:rPr/>
            </w:pPr>
            <w:r>
              <w:rPr/>
              <w:t xml:space="preserve">For each scheduled monthly Calculation Date or for the Maturity Date, if Party B elects Physical Settlement, the Closing Price of the Underlying Equity on the final day of each Calculation Period. </w:t>
            </w:r>
          </w:p>
        </w:tc>
      </w:tr>
      <w:tr>
        <w:trPr/>
        <w:tc>
          <w:tcPr>
            <w:tcW w:w="3876" w:type="dxa"/>
            <w:gridSpan w:val="2"/>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rPr>
            </w:pPr>
            <w:r>
              <w:rPr>
                <w:b/>
              </w:rPr>
              <w:t>Calculation Period:</w:t>
            </w:r>
          </w:p>
        </w:tc>
        <w:tc>
          <w:tcPr>
            <w:tcW w:w="6294" w:type="dxa"/>
            <w:tcBorders/>
          </w:tcPr>
          <w:p>
            <w:pPr>
              <w:pStyle w:val="Header"/>
              <w:tabs>
                <w:tab w:val="clear" w:pos="4320"/>
                <w:tab w:val="clear" w:pos="8640"/>
              </w:tabs>
              <w:spacing w:before="120" w:after="0"/>
              <w:rPr/>
            </w:pPr>
            <w:r>
              <w:rPr/>
              <w:t>Monthly period between Calculation Dates</w:t>
            </w:r>
          </w:p>
        </w:tc>
      </w:tr>
      <w:tr>
        <w:trPr/>
        <w:tc>
          <w:tcPr>
            <w:tcW w:w="3876" w:type="dxa"/>
            <w:gridSpan w:val="2"/>
            <w:tcBorders/>
          </w:tcPr>
          <w:p>
            <w:pPr>
              <w:pStyle w:val="Normal"/>
              <w:spacing w:before="120" w:after="0"/>
              <w:rPr>
                <w:b/>
              </w:rPr>
            </w:pPr>
            <w:r>
              <w:rPr>
                <w:b/>
              </w:rPr>
              <w:t>Calculation Dates:</w:t>
            </w:r>
          </w:p>
        </w:tc>
        <w:tc>
          <w:tcPr>
            <w:tcW w:w="6294" w:type="dxa"/>
            <w:tcBorders/>
          </w:tcPr>
          <w:p>
            <w:pPr>
              <w:pStyle w:val="Normal"/>
              <w:spacing w:before="120" w:after="0"/>
              <w:rPr/>
            </w:pPr>
            <w:r>
              <w:rPr/>
              <w:t xml:space="preserve">The  fourth  day of each month (if such day is not a Business Day then the next succeeding Business Day) after the Effective Date until the Maturity Date </w:t>
            </w:r>
          </w:p>
        </w:tc>
      </w:tr>
      <w:tr>
        <w:trPr/>
        <w:tc>
          <w:tcPr>
            <w:tcW w:w="3876" w:type="dxa"/>
            <w:gridSpan w:val="2"/>
            <w:tcBorders/>
          </w:tcPr>
          <w:p>
            <w:pPr>
              <w:pStyle w:val="Normal"/>
              <w:spacing w:before="120" w:after="0"/>
              <w:rPr>
                <w:b/>
              </w:rPr>
            </w:pPr>
            <w:r>
              <w:rPr>
                <w:b/>
              </w:rPr>
              <w:t>Forward Price:</w:t>
            </w:r>
          </w:p>
        </w:tc>
        <w:tc>
          <w:tcPr>
            <w:tcW w:w="6294" w:type="dxa"/>
            <w:tcBorders/>
          </w:tcPr>
          <w:p>
            <w:pPr>
              <w:pStyle w:val="Normal"/>
              <w:spacing w:before="120" w:after="0"/>
              <w:rPr/>
            </w:pPr>
            <w:r>
              <w:rPr/>
              <w:t>The Forward Price shall be calculated on each Calculation Date as:</w:t>
            </w:r>
          </w:p>
          <w:p>
            <w:pPr>
              <w:pStyle w:val="Normal"/>
              <w:spacing w:before="120" w:after="0"/>
              <w:rPr/>
            </w:pPr>
            <w:r>
              <w:rPr/>
              <w:t>Initial Equity Level x (1 + Rate + Spread) – Dividend Amount</w:t>
            </w:r>
          </w:p>
        </w:tc>
      </w:tr>
      <w:tr>
        <w:trPr/>
        <w:tc>
          <w:tcPr>
            <w:tcW w:w="3876" w:type="dxa"/>
            <w:gridSpan w:val="2"/>
            <w:tcBorders/>
          </w:tcPr>
          <w:p>
            <w:pPr>
              <w:pStyle w:val="Normal"/>
              <w:spacing w:before="120" w:after="0"/>
              <w:rPr>
                <w:b/>
              </w:rPr>
            </w:pPr>
            <w:r>
              <w:rPr>
                <w:b/>
              </w:rPr>
              <w:t>Rate:</w:t>
            </w:r>
          </w:p>
        </w:tc>
        <w:tc>
          <w:tcPr>
            <w:tcW w:w="6294" w:type="dxa"/>
            <w:tcBorders/>
          </w:tcPr>
          <w:p>
            <w:pPr>
              <w:pStyle w:val="Normal"/>
              <w:spacing w:before="120" w:after="0"/>
              <w:rPr/>
            </w:pPr>
            <w:r>
              <w:rPr/>
              <w:t>1 Month LIBOR x Rate Convention</w:t>
            </w:r>
          </w:p>
        </w:tc>
      </w:tr>
      <w:tr>
        <w:trPr/>
        <w:tc>
          <w:tcPr>
            <w:tcW w:w="3876" w:type="dxa"/>
            <w:gridSpan w:val="2"/>
            <w:tcBorders/>
          </w:tcPr>
          <w:p>
            <w:pPr>
              <w:pStyle w:val="Normal"/>
              <w:spacing w:before="120" w:after="0"/>
              <w:rPr>
                <w:b/>
              </w:rPr>
            </w:pPr>
            <w:r>
              <w:rPr>
                <w:b/>
              </w:rPr>
              <w:t>Spread:</w:t>
            </w:r>
          </w:p>
        </w:tc>
        <w:tc>
          <w:tcPr>
            <w:tcW w:w="6294" w:type="dxa"/>
            <w:tcBorders/>
          </w:tcPr>
          <w:p>
            <w:pPr>
              <w:pStyle w:val="Header"/>
              <w:tabs>
                <w:tab w:val="clear" w:pos="4320"/>
                <w:tab w:val="clear" w:pos="8640"/>
              </w:tabs>
              <w:spacing w:before="120" w:after="0"/>
              <w:rPr/>
            </w:pPr>
            <w:r>
              <w:rPr/>
              <w:t>60 basis points (0.60%) x Rate Convention</w:t>
            </w:r>
          </w:p>
        </w:tc>
      </w:tr>
      <w:tr>
        <w:trPr/>
        <w:tc>
          <w:tcPr>
            <w:tcW w:w="3876" w:type="dxa"/>
            <w:gridSpan w:val="2"/>
            <w:tcBorders/>
          </w:tcPr>
          <w:p>
            <w:pPr>
              <w:pStyle w:val="Normal"/>
              <w:spacing w:before="120" w:after="0"/>
              <w:rPr>
                <w:b/>
              </w:rPr>
            </w:pPr>
            <w:r>
              <w:rPr>
                <w:b/>
              </w:rPr>
              <w:t>Rate Convention:</w:t>
            </w:r>
          </w:p>
        </w:tc>
        <w:tc>
          <w:tcPr>
            <w:tcW w:w="6294" w:type="dxa"/>
            <w:tcBorders/>
          </w:tcPr>
          <w:p>
            <w:pPr>
              <w:pStyle w:val="Header"/>
              <w:tabs>
                <w:tab w:val="clear" w:pos="4320"/>
                <w:tab w:val="clear" w:pos="8640"/>
              </w:tabs>
              <w:spacing w:before="120" w:after="0"/>
              <w:rPr/>
            </w:pPr>
            <w:r>
              <w:rPr/>
              <w:t>Actual days in Calculation Period / 360</w:t>
            </w:r>
          </w:p>
        </w:tc>
      </w:tr>
      <w:tr>
        <w:trPr/>
        <w:tc>
          <w:tcPr>
            <w:tcW w:w="3876" w:type="dxa"/>
            <w:gridSpan w:val="2"/>
            <w:tcBorders/>
          </w:tcPr>
          <w:p>
            <w:pPr>
              <w:pStyle w:val="Normal"/>
              <w:spacing w:before="120" w:after="0"/>
              <w:rPr>
                <w:b/>
              </w:rPr>
            </w:pPr>
            <w:r>
              <w:rPr>
                <w:b/>
              </w:rPr>
              <w:t>Dividend Amount:</w:t>
            </w:r>
          </w:p>
        </w:tc>
        <w:tc>
          <w:tcPr>
            <w:tcW w:w="6294" w:type="dxa"/>
            <w:tcBorders/>
          </w:tcPr>
          <w:p>
            <w:pPr>
              <w:pStyle w:val="Normal"/>
              <w:spacing w:before="120" w:after="0"/>
              <w:rPr/>
            </w:pPr>
            <w:r>
              <w:rPr/>
              <w:t>For each Calculation Date, the cumulative value of all cash dividends paid and received by Party A on a single share of Underlying Equity, during the period beginning on (i) for the first Calculation Date, the Effective Date, and (ii) for each subsequent Calculation Date, one day after the prior Calculation Date, and ending on such Calculation Date</w:t>
            </w:r>
          </w:p>
          <w:p>
            <w:pPr>
              <w:pStyle w:val="Normal"/>
              <w:spacing w:before="120" w:after="0"/>
              <w:rPr/>
            </w:pPr>
            <w:r>
              <w:rPr/>
              <w:t xml:space="preserve">Any dividends received by Party A on the Underlying Equity that are not taken into account in calculating the Forward Price (i.e. dividends with a record date before and payment  after the Settlement Date) will be paid by Party A to Party B as and when received.                   </w:t>
            </w:r>
          </w:p>
        </w:tc>
      </w:tr>
      <w:tr>
        <w:trPr/>
        <w:tc>
          <w:tcPr>
            <w:tcW w:w="3870" w:type="dxa"/>
            <w:tcBorders/>
          </w:tcPr>
          <w:p>
            <w:pPr>
              <w:pStyle w:val="Normal"/>
              <w:spacing w:before="120" w:after="0"/>
              <w:rPr>
                <w:b/>
              </w:rPr>
            </w:pPr>
            <w:r>
              <w:rPr>
                <w:b/>
              </w:rPr>
              <w:t>Settlement Options:</w:t>
            </w:r>
          </w:p>
        </w:tc>
        <w:tc>
          <w:tcPr>
            <w:tcW w:w="6300" w:type="dxa"/>
            <w:gridSpan w:val="2"/>
            <w:tcBorders/>
          </w:tcPr>
          <w:p>
            <w:pPr>
              <w:pStyle w:val="Normal"/>
              <w:spacing w:before="120" w:after="0"/>
              <w:rPr/>
            </w:pPr>
            <w:r>
              <w:rPr/>
              <w:t>On the Maturity Date Party B may select:</w:t>
            </w:r>
          </w:p>
          <w:p>
            <w:pPr>
              <w:pStyle w:val="Normal"/>
              <w:numPr>
                <w:ilvl w:val="0"/>
                <w:numId w:val="3"/>
              </w:numPr>
              <w:spacing w:before="120" w:after="0"/>
              <w:rPr/>
            </w:pPr>
            <w:r>
              <w:rPr/>
              <w:t>Physical Settlement – Party B pays Settlement Amount in Cash in exchange for shares equal to the Notional Share Amount</w:t>
            </w:r>
          </w:p>
          <w:p>
            <w:pPr>
              <w:pStyle w:val="Normal"/>
              <w:numPr>
                <w:ilvl w:val="0"/>
                <w:numId w:val="3"/>
              </w:numPr>
              <w:spacing w:before="120" w:after="0"/>
              <w:rPr/>
            </w:pPr>
            <w:r>
              <w:rPr/>
              <w:t>Net Stock Settlement – Party B shall deliver or receive shares equal in value to the absolute value of Net Stock Settlement Amount.  If Party B delivers shares, this value shall be determined based on the Final Equity Level</w:t>
            </w:r>
          </w:p>
          <w:p>
            <w:pPr>
              <w:pStyle w:val="Normal"/>
              <w:numPr>
                <w:ilvl w:val="0"/>
                <w:numId w:val="3"/>
              </w:numPr>
              <w:spacing w:before="120" w:after="0"/>
              <w:rPr/>
            </w:pPr>
            <w:r>
              <w:rPr/>
              <w:t xml:space="preserve">Net Cash Settlement – Party B shall deliver or receive cash equal to the absolute value of Net Stock Settlement Amount </w:t>
            </w:r>
          </w:p>
        </w:tc>
      </w:tr>
      <w:tr>
        <w:trPr/>
        <w:tc>
          <w:tcPr>
            <w:tcW w:w="3870" w:type="dxa"/>
            <w:tcBorders/>
          </w:tcPr>
          <w:p>
            <w:pPr>
              <w:pStyle w:val="Normal"/>
              <w:spacing w:before="120" w:after="0"/>
              <w:rPr>
                <w:b/>
              </w:rPr>
            </w:pPr>
            <w:r>
              <w:rPr>
                <w:b/>
              </w:rPr>
              <w:t>Settlement Amount:</w:t>
            </w:r>
          </w:p>
        </w:tc>
        <w:tc>
          <w:tcPr>
            <w:tcW w:w="6300" w:type="dxa"/>
            <w:gridSpan w:val="2"/>
            <w:tcBorders/>
          </w:tcPr>
          <w:p>
            <w:pPr>
              <w:pStyle w:val="Normal"/>
              <w:spacing w:before="120" w:after="0"/>
              <w:rPr>
                <w:color w:val="000000"/>
              </w:rPr>
            </w:pPr>
            <w:r>
              <w:rPr>
                <w:color w:val="000000"/>
              </w:rPr>
              <w:t>Notional Shares  x  Forward Price</w:t>
            </w:r>
          </w:p>
        </w:tc>
      </w:tr>
      <w:tr>
        <w:trPr/>
        <w:tc>
          <w:tcPr>
            <w:tcW w:w="3870" w:type="dxa"/>
            <w:tcBorders/>
          </w:tcPr>
          <w:p>
            <w:pPr>
              <w:pStyle w:val="Normal"/>
              <w:spacing w:before="120" w:after="0"/>
              <w:rPr>
                <w:b/>
              </w:rPr>
            </w:pPr>
            <w:r>
              <w:rPr>
                <w:b/>
              </w:rPr>
              <w:t>Net Stock Settlement Amount:</w:t>
            </w:r>
          </w:p>
        </w:tc>
        <w:tc>
          <w:tcPr>
            <w:tcW w:w="6300" w:type="dxa"/>
            <w:gridSpan w:val="2"/>
            <w:tcBorders/>
          </w:tcPr>
          <w:p>
            <w:pPr>
              <w:pStyle w:val="Normal"/>
              <w:spacing w:before="120" w:after="0"/>
              <w:rPr/>
            </w:pPr>
            <w:r>
              <w:rPr/>
              <w:t>Notional Shares  x  (Final Equity Level  -  Forward Price)</w:t>
            </w:r>
          </w:p>
          <w:p>
            <w:pPr>
              <w:pStyle w:val="Normal"/>
              <w:spacing w:before="120" w:after="0"/>
              <w:rPr/>
            </w:pPr>
            <w:r>
              <w:rPr/>
              <w:t>if  &gt;  0, Party A shall deliver shares</w:t>
            </w:r>
          </w:p>
          <w:p>
            <w:pPr>
              <w:pStyle w:val="Normal"/>
              <w:spacing w:before="120" w:after="0"/>
              <w:rPr/>
            </w:pPr>
            <w:r>
              <w:rPr/>
              <w:t xml:space="preserve">if  &lt;  0, Party B shall deliver shares   </w:t>
            </w:r>
          </w:p>
        </w:tc>
      </w:tr>
      <w:tr>
        <w:trPr/>
        <w:tc>
          <w:tcPr>
            <w:tcW w:w="3876" w:type="dxa"/>
            <w:gridSpan w:val="2"/>
            <w:tcBorders/>
          </w:tcPr>
          <w:p>
            <w:pPr>
              <w:pStyle w:val="Normal"/>
              <w:spacing w:before="120" w:after="0"/>
              <w:rPr>
                <w:b/>
              </w:rPr>
            </w:pPr>
            <w:r>
              <w:rPr>
                <w:b/>
              </w:rPr>
              <w:t>Commissions:</w:t>
            </w:r>
          </w:p>
        </w:tc>
        <w:tc>
          <w:tcPr>
            <w:tcW w:w="6294" w:type="dxa"/>
            <w:tcBorders/>
          </w:tcPr>
          <w:p>
            <w:pPr>
              <w:pStyle w:val="Normal"/>
              <w:spacing w:before="120" w:after="0"/>
              <w:rPr/>
            </w:pPr>
            <w:r>
              <w:rPr/>
              <w:t xml:space="preserve">$0.03 per share of Underlying Equity purchased or sold in the open market multiplied by the Number of Shares.  </w:t>
            </w:r>
          </w:p>
          <w:p>
            <w:pPr>
              <w:pStyle w:val="Normal"/>
              <w:spacing w:before="120" w:after="0"/>
              <w:rPr/>
            </w:pPr>
            <w:r>
              <w:rPr/>
              <w:t>$0.06 per share multiplied by the Number of Shares for VWAP execution</w:t>
            </w:r>
          </w:p>
        </w:tc>
      </w:tr>
      <w:tr>
        <w:trPr/>
        <w:tc>
          <w:tcPr>
            <w:tcW w:w="3870" w:type="dxa"/>
            <w:tcBorders/>
          </w:tcPr>
          <w:p>
            <w:pPr>
              <w:pStyle w:val="Normal"/>
              <w:spacing w:before="120" w:after="0"/>
              <w:rPr>
                <w:b/>
              </w:rPr>
            </w:pPr>
            <w:r>
              <w:rPr>
                <w:b/>
              </w:rPr>
              <w:t>Conditions to Net Stock or Net Cash Settlement - Registration:</w:t>
            </w:r>
          </w:p>
        </w:tc>
        <w:tc>
          <w:tcPr>
            <w:tcW w:w="6300" w:type="dxa"/>
            <w:gridSpan w:val="2"/>
            <w:tcBorders/>
          </w:tcPr>
          <w:p>
            <w:pPr>
              <w:pStyle w:val="Header"/>
              <w:tabs>
                <w:tab w:val="clear" w:pos="4320"/>
                <w:tab w:val="clear" w:pos="8640"/>
              </w:tabs>
              <w:spacing w:before="120" w:after="0"/>
              <w:rPr/>
            </w:pPr>
            <w:r>
              <w:rPr/>
              <w:t>If Party B elects Net Stock or Net Cash Settlement, Party B shall enter into a Registration Rights Agreement providing for customary representations, warranties, covenants, indemnification, comfort letters and legal opinions, and shall provide an effective Registration Statement for an amount of Common Shares that MLI shall specify, which will include, without limitation,  all shares purchased by MLI in the open market which serve as the hedge for this Transaction.</w:t>
            </w:r>
          </w:p>
        </w:tc>
      </w:tr>
      <w:tr>
        <w:trPr/>
        <w:tc>
          <w:tcPr>
            <w:tcW w:w="3870" w:type="dxa"/>
            <w:tcBorders/>
          </w:tcPr>
          <w:p>
            <w:pPr>
              <w:pStyle w:val="Normal"/>
              <w:spacing w:before="120" w:after="0"/>
              <w:rPr>
                <w:b/>
              </w:rPr>
            </w:pPr>
            <w:r>
              <w:rPr>
                <w:b/>
              </w:rPr>
              <w:t>Calculation Agent:</w:t>
            </w:r>
          </w:p>
        </w:tc>
        <w:tc>
          <w:tcPr>
            <w:tcW w:w="6300" w:type="dxa"/>
            <w:gridSpan w:val="2"/>
            <w:tcBorders/>
          </w:tcPr>
          <w:p>
            <w:pPr>
              <w:pStyle w:val="Normal"/>
              <w:spacing w:before="120" w:after="0"/>
              <w:rPr/>
            </w:pPr>
            <w:r>
              <w:rPr/>
              <w:t>As  per the ISDA Master Agreement</w:t>
            </w:r>
          </w:p>
        </w:tc>
      </w:tr>
      <w:tr>
        <w:trPr/>
        <w:tc>
          <w:tcPr>
            <w:tcW w:w="3870" w:type="dxa"/>
            <w:tcBorders/>
          </w:tcPr>
          <w:p>
            <w:pPr>
              <w:pStyle w:val="Normal"/>
              <w:spacing w:before="120" w:after="0"/>
              <w:rPr>
                <w:b/>
              </w:rPr>
            </w:pPr>
            <w:r>
              <w:rPr>
                <w:b/>
              </w:rPr>
              <w:t>Documentation:</w:t>
            </w:r>
          </w:p>
        </w:tc>
        <w:tc>
          <w:tcPr>
            <w:tcW w:w="6300" w:type="dxa"/>
            <w:gridSpan w:val="2"/>
            <w:tcBorders/>
          </w:tcPr>
          <w:p>
            <w:pPr>
              <w:pStyle w:val="Normal"/>
              <w:spacing w:before="120" w:after="0"/>
              <w:rPr/>
            </w:pPr>
            <w:r>
              <w:rPr/>
              <w:t>MLI Forward Purchase Confirmation  (the “Confirmation”) ( including a form of Registration Rights Agreement for Net Share or Net Cash Settlement ) and  Opinion of  Counsel.</w:t>
            </w:r>
          </w:p>
          <w:p>
            <w:pPr>
              <w:pStyle w:val="Normal"/>
              <w:spacing w:before="120" w:after="0"/>
              <w:rPr/>
            </w:pPr>
            <w:r>
              <w:rPr/>
              <w:t>In the event that the Documentation is not executed within [20] days after the Effective Date, Party A has the right to terminate this Transaction.</w:t>
            </w:r>
          </w:p>
        </w:tc>
      </w:tr>
      <w:tr>
        <w:trPr/>
        <w:tc>
          <w:tcPr>
            <w:tcW w:w="3870" w:type="dxa"/>
            <w:tcBorders/>
          </w:tcPr>
          <w:p>
            <w:pPr>
              <w:pStyle w:val="Normal"/>
              <w:spacing w:before="120" w:after="0"/>
              <w:rPr>
                <w:b/>
              </w:rPr>
            </w:pPr>
            <w:r>
              <w:rPr>
                <w:b/>
              </w:rPr>
              <w:t>Suspension:</w:t>
            </w:r>
          </w:p>
        </w:tc>
        <w:tc>
          <w:tcPr>
            <w:tcW w:w="6300" w:type="dxa"/>
            <w:gridSpan w:val="2"/>
            <w:tcBorders/>
          </w:tcPr>
          <w:p>
            <w:pPr>
              <w:pStyle w:val="Header"/>
              <w:tabs>
                <w:tab w:val="clear" w:pos="4320"/>
                <w:tab w:val="clear" w:pos="8640"/>
              </w:tabs>
              <w:snapToGrid w:val="false"/>
              <w:rPr>
                <w:b/>
                <w:color w:val="0000FF"/>
                <w:lang w:eastAsia="en-US"/>
              </w:rPr>
            </w:pPr>
            <w:r>
              <w:rPr>
                <w:b/>
                <w:color w:val="0000FF"/>
                <w:lang w:eastAsia="en-US"/>
              </w:rPr>
            </w:r>
          </w:p>
          <w:p>
            <w:pPr>
              <w:pStyle w:val="Header"/>
              <w:tabs>
                <w:tab w:val="clear" w:pos="4320"/>
                <w:tab w:val="clear" w:pos="8640"/>
              </w:tabs>
              <w:rPr>
                <w:lang w:eastAsia="en-US"/>
              </w:rPr>
            </w:pPr>
            <w:r>
              <w:rPr>
                <w:lang w:eastAsia="en-US"/>
              </w:rPr>
              <w:t xml:space="preserve">During the Net Stock or Net Cash Settlement period, for a period not to  exceed [10] Trading Days., Party B shall give Party A prompt telephonic notice (confirmed by fax) of any day or time period during which purchases pursuant to this Transaction must be suspended due to the development of facts or circumstances that constitute or could constitute material non-public information relating to Party B, it being understood that Party B shall not indicate to Party A the reason for the suspension.  Promptly after receipt of any such notice, Party A will cease entering bids to purchase or to purchase Shares pursuant to this Transaction until the applicable suspension period ends, it being understood that Party A may effect any purchase resulting from acceptance of a bid prior to receipt of such notice.  </w:t>
            </w:r>
          </w:p>
        </w:tc>
      </w:tr>
      <w:tr>
        <w:trPr/>
        <w:tc>
          <w:tcPr>
            <w:tcW w:w="3870" w:type="dxa"/>
            <w:tcBorders/>
          </w:tcPr>
          <w:p>
            <w:pPr>
              <w:pStyle w:val="Normal"/>
              <w:spacing w:before="120" w:after="0"/>
              <w:rPr>
                <w:b/>
              </w:rPr>
            </w:pPr>
            <w:r>
              <w:rPr>
                <w:b/>
              </w:rPr>
              <w:t>Party B Representations:</w:t>
            </w:r>
          </w:p>
        </w:tc>
        <w:tc>
          <w:tcPr>
            <w:tcW w:w="6300" w:type="dxa"/>
            <w:gridSpan w:val="2"/>
            <w:tcBorders/>
          </w:tcPr>
          <w:p>
            <w:pPr>
              <w:pStyle w:val="Header"/>
              <w:tabs>
                <w:tab w:val="clear" w:pos="4320"/>
                <w:tab w:val="clear" w:pos="8640"/>
              </w:tabs>
              <w:spacing w:before="120" w:after="0"/>
              <w:rPr/>
            </w:pPr>
            <w:r>
              <w:rPr/>
              <w:t>Party B shall be deemed to represent and warrant as follows:</w:t>
            </w:r>
          </w:p>
          <w:p>
            <w:pPr>
              <w:pStyle w:val="Header"/>
              <w:numPr>
                <w:ilvl w:val="0"/>
                <w:numId w:val="2"/>
              </w:numPr>
              <w:tabs>
                <w:tab w:val="clear" w:pos="4320"/>
                <w:tab w:val="clear" w:pos="8640"/>
              </w:tabs>
              <w:spacing w:before="120" w:after="0"/>
              <w:rPr/>
            </w:pPr>
            <w:r>
              <w:rPr/>
              <w:t>Party B has complied and will comply in connection with this Transaction and all related or contemporaneous sales and purchases of Shares, with the applicable provisions of the Securities Act of 1933, the Securities Exchange Act of 1934 and the rules and regulations thereunder, including, without limitation, Rule 10b-5, 10b-18 and Regulation M under the Exchange Act; Party B and its “affiliated purchasers,” as defined in Rule 10b-18 under the Exchange Act, have coordinated and will coordinate any purchases of Shares with purchases by Party A of its hedge in connection with this Transaction in order to comply with Rule 10b-18 during the initial hedge period; each of Party B’s filings under the Securities Act, the Exchange Act, or other applicable securities laws that are required to be filed have been filed and there is no misstatement of a material fact contained therein, or omission of a material fact required to be stated therein or necessary to make the statements therein not misleading;</w:t>
            </w:r>
          </w:p>
          <w:p>
            <w:pPr>
              <w:pStyle w:val="Header"/>
              <w:numPr>
                <w:ilvl w:val="0"/>
                <w:numId w:val="2"/>
              </w:numPr>
              <w:tabs>
                <w:tab w:val="clear" w:pos="4320"/>
                <w:tab w:val="clear" w:pos="8640"/>
              </w:tabs>
              <w:spacing w:before="120" w:after="0"/>
              <w:rPr/>
            </w:pPr>
            <w:r>
              <w:rPr/>
              <w:t>If  Party B purchases any Shares pursuant to this Transaction, such purchases will comply with (a) all laws and regulations applicable to Party B and (b) all contractual obligations of Party B;</w:t>
            </w:r>
          </w:p>
          <w:p>
            <w:pPr>
              <w:pStyle w:val="Header"/>
              <w:numPr>
                <w:ilvl w:val="0"/>
                <w:numId w:val="2"/>
              </w:numPr>
              <w:tabs>
                <w:tab w:val="clear" w:pos="4320"/>
                <w:tab w:val="clear" w:pos="8640"/>
              </w:tabs>
              <w:spacing w:before="120" w:after="0"/>
              <w:rPr/>
            </w:pPr>
            <w:r>
              <w:rPr/>
              <w:t>Party B is not entering into this Transaction to facilitate a distribution of the common Shares or any other security convertible into common shares or in connection with a future issuance of common Shares or any other security convertible into common shares;</w:t>
            </w:r>
          </w:p>
          <w:p>
            <w:pPr>
              <w:pStyle w:val="Header"/>
              <w:numPr>
                <w:ilvl w:val="0"/>
                <w:numId w:val="2"/>
              </w:numPr>
              <w:tabs>
                <w:tab w:val="clear" w:pos="4320"/>
                <w:tab w:val="clear" w:pos="8640"/>
              </w:tabs>
              <w:spacing w:before="120" w:after="0"/>
              <w:rPr/>
            </w:pPr>
            <w:r>
              <w:rPr/>
              <w:t>Party B is not entering into this Transaction to create actual or apparent trading activity in the Shares or any other security or to manipulate the price of the Shares or any other security;</w:t>
            </w:r>
          </w:p>
          <w:p>
            <w:pPr>
              <w:pStyle w:val="Header"/>
              <w:numPr>
                <w:ilvl w:val="0"/>
                <w:numId w:val="2"/>
              </w:numPr>
              <w:tabs>
                <w:tab w:val="clear" w:pos="4320"/>
                <w:tab w:val="clear" w:pos="8640"/>
              </w:tabs>
              <w:spacing w:before="120" w:after="0"/>
              <w:rPr/>
            </w:pPr>
            <w:r>
              <w:rPr/>
              <w:t>Party B has not formed a present intention on the method of settlement of  this Transaction .</w:t>
            </w:r>
          </w:p>
        </w:tc>
      </w:tr>
    </w:tbl>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ind w:end="0"/>
        <w:rPr>
          <w:b/>
          <w:i/>
          <w:i/>
          <w:color w:val="000000"/>
          <w:sz w:val="24"/>
        </w:rPr>
      </w:pPr>
      <w:r>
        <w:rPr>
          <w:b/>
          <w:i/>
          <w:sz w:val="24"/>
        </w:rPr>
        <w:t>This term sheet serves as the agreement between Party A and Party B until the Confirmation  is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b/>
          <w:i/>
          <w:i/>
          <w:color w:val="000000"/>
          <w:sz w:val="22"/>
        </w:rPr>
      </w:pPr>
      <w:r>
        <w:rPr>
          <w:b/>
          <w:i/>
          <w:color w:val="000000"/>
          <w:sz w:val="22"/>
        </w:rPr>
        <w:t>Enron North America  Corp.:</w:t>
        <w:tab/>
        <w:tab/>
        <w:t>Date:</w:t>
        <w:tab/>
        <w:tab/>
        <w:t>Print Name:</w:t>
        <w:tab/>
        <w:tab/>
        <w:t xml:space="preserve"> Title:</w:t>
      </w:r>
    </w:p>
    <w:p>
      <w:pPr>
        <w:pStyle w:val="Normal"/>
        <w:spacing w:before="240" w:after="0"/>
        <w:ind w:end="-630"/>
        <w:jc w:val="both"/>
        <w:rPr>
          <w:b/>
          <w:i/>
          <w:i/>
          <w:color w:val="000000"/>
          <w:sz w:val="22"/>
        </w:rPr>
      </w:pPr>
      <w:r>
        <w:rPr>
          <w:b/>
          <w:i/>
          <w:color w:val="000000"/>
          <w:sz w:val="22"/>
        </w:rPr>
      </w:r>
    </w:p>
    <w:p>
      <w:pPr>
        <w:pStyle w:val="Normal"/>
        <w:spacing w:before="240" w:after="0"/>
        <w:ind w:start="-540" w:end="-630"/>
        <w:jc w:val="both"/>
        <w:rPr>
          <w:b/>
          <w:i/>
          <w:i/>
          <w:color w:val="000000"/>
          <w:sz w:val="22"/>
        </w:rPr>
      </w:pPr>
      <w:r>
        <w:rPr>
          <w:b/>
          <w:i/>
          <w:color w:val="000000"/>
          <w:sz w:val="22"/>
        </w:rPr>
      </w:r>
    </w:p>
    <w:p>
      <w:pPr>
        <w:pStyle w:val="BodyText2"/>
        <w:rPr>
          <w:b/>
          <w:i/>
          <w:i/>
          <w:color w:val="000000"/>
          <w:sz w:val="22"/>
        </w:rPr>
      </w:pPr>
      <w:r>
        <w:rPr>
          <w:b/>
          <w:i/>
          <w:color w:val="000000"/>
          <w:sz w:val="22"/>
        </w:rPr>
        <w:t>By:_______DRAFT_________</w:t>
        <w:tab/>
        <w:tab/>
        <w:t>_________</w:t>
        <w:tab/>
        <w:t>__________________</w:t>
        <w:tab/>
        <w:t>___________________</w:t>
      </w:r>
    </w:p>
    <w:sectPr>
      <w:headerReference w:type="default" r:id="rId2"/>
      <w:footerReference w:type="default" r:id="rId3"/>
      <w:type w:val="nextPage"/>
      <w:pgSz w:w="12240" w:h="15840"/>
      <w:pgMar w:left="1080" w:right="1080" w:gutter="0" w:header="432" w:top="1008"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p>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522" w:type="dxa"/>
      <w:tblLayout w:type="fixed"/>
      <w:tblCellMar>
        <w:top w:w="0" w:type="dxa"/>
        <w:start w:w="108" w:type="dxa"/>
        <w:bottom w:w="0" w:type="dxa"/>
        <w:end w:w="108" w:type="dxa"/>
      </w:tblCellMar>
    </w:tblPr>
    <w:tblGrid>
      <w:gridCol w:w="1213"/>
      <w:gridCol w:w="4277"/>
      <w:gridCol w:w="5220"/>
    </w:tblGrid>
    <w:tr>
      <w:trPr>
        <w:trHeight w:val="1440" w:hRule="atLeast"/>
      </w:trPr>
      <w:tc>
        <w:tcPr>
          <w:tcW w:w="1213" w:type="dxa"/>
          <w:tcBorders/>
        </w:tcPr>
        <w:p>
          <w:pPr>
            <w:pStyle w:val="CompanyName"/>
            <w:spacing w:before="0" w:after="0"/>
            <w:jc w:val="start"/>
            <w:rPr>
              <w:b/>
              <w:sz w:val="32"/>
            </w:rPr>
          </w:pPr>
          <w:r>
            <w:rPr>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869338958" r:id="rId1"/>
            </w:object>
          </w:r>
        </w:p>
      </w:tc>
      <w:tc>
        <w:tcPr>
          <w:tcW w:w="4277" w:type="dxa"/>
          <w:tcBorders/>
        </w:tcPr>
        <w:p>
          <w:pPr>
            <w:pStyle w:val="CompanyName"/>
            <w:spacing w:before="320" w:after="0"/>
            <w:jc w:val="start"/>
            <w:rPr>
              <w:rFonts w:ascii="Times New Roman" w:hAnsi="Times New Roman" w:cs="Times New Roman"/>
              <w:b/>
              <w:caps w:val="false"/>
              <w:smallCaps w:val="false"/>
              <w:spacing w:val="0"/>
              <w:sz w:val="36"/>
            </w:rPr>
          </w:pPr>
          <w:r>
            <w:rPr>
              <w:rFonts w:cs="Times New Roman" w:ascii="Times New Roman" w:hAnsi="Times New Roman"/>
              <w:b/>
              <w:caps w:val="false"/>
              <w:smallCaps w:val="false"/>
              <w:spacing w:val="0"/>
              <w:sz w:val="36"/>
            </w:rPr>
            <w:t>Merrill Lynch</w:t>
          </w:r>
        </w:p>
        <w:p>
          <w:pPr>
            <w:pStyle w:val="CompanyName"/>
            <w:spacing w:lineRule="auto" w:line="240" w:before="0" w:after="0"/>
            <w:ind w:end="-468"/>
            <w:jc w:val="start"/>
            <w:rPr>
              <w:rFonts w:ascii="Times New Roman" w:hAnsi="Times New Roman" w:cs="Times New Roman"/>
              <w:b/>
              <w:i/>
              <w:i/>
              <w:caps w:val="false"/>
              <w:smallCaps w:val="false"/>
              <w:spacing w:val="0"/>
              <w:sz w:val="32"/>
            </w:rPr>
          </w:pPr>
          <w:r>
            <w:rPr>
              <w:rFonts w:cs="Times New Roman" w:ascii="Times New Roman" w:hAnsi="Times New Roman"/>
              <w:b/>
              <w:i/>
              <w:caps w:val="false"/>
              <w:smallCaps w:val="false"/>
              <w:spacing w:val="0"/>
              <w:sz w:val="32"/>
            </w:rPr>
            <w:t>Equity Linked Capital Markets</w:t>
          </w:r>
        </w:p>
        <w:p>
          <w:pPr>
            <w:pStyle w:val="CompanyName"/>
            <w:spacing w:lineRule="auto" w:line="240" w:before="0" w:after="0"/>
            <w:ind w:end="-468"/>
            <w:jc w:val="start"/>
            <w:rPr>
              <w:rFonts w:ascii="Times New Roman" w:hAnsi="Times New Roman" w:cs="Times New Roman"/>
              <w:b/>
              <w:caps w:val="false"/>
              <w:smallCaps w:val="false"/>
              <w:spacing w:val="0"/>
              <w:sz w:val="32"/>
            </w:rPr>
          </w:pPr>
          <w:r>
            <w:rPr>
              <w:rFonts w:cs="Times New Roman" w:ascii="Times New Roman" w:hAnsi="Times New Roman"/>
              <w:b/>
              <w:i/>
              <w:caps w:val="false"/>
              <w:smallCaps w:val="false"/>
              <w:spacing w:val="0"/>
              <w:sz w:val="32"/>
            </w:rPr>
            <w:t>(212) 449-6763</w:t>
          </w:r>
        </w:p>
      </w:tc>
      <w:tc>
        <w:tcPr>
          <w:tcW w:w="5220" w:type="dxa"/>
          <w:tcBorders/>
        </w:tcPr>
        <w:p>
          <w:pPr>
            <w:pStyle w:val="CompanyName"/>
            <w:spacing w:lineRule="auto" w:line="240" w:before="0" w:after="0"/>
            <w:jc w:val="end"/>
            <w:rPr>
              <w:rFonts w:ascii="Times New Roman" w:hAnsi="Times New Roman" w:cs="Times New Roman"/>
              <w:b/>
              <w:caps w:val="false"/>
              <w:smallCaps w:val="false"/>
              <w:spacing w:val="0"/>
              <w:sz w:val="32"/>
            </w:rPr>
          </w:pPr>
          <w:r>
            <w:rPr>
              <w:rFonts w:cs="Times New Roman" w:ascii="Times New Roman" w:hAnsi="Times New Roman"/>
              <w:b/>
              <w:caps w:val="false"/>
              <w:smallCaps w:val="false"/>
              <w:spacing w:val="0"/>
              <w:sz w:val="32"/>
            </w:rPr>
            <w:t>DRAFT</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
      <w:lvlJc w:val="start"/>
      <w:pPr>
        <w:tabs>
          <w:tab w:val="num" w:pos="360"/>
        </w:tabs>
        <w:ind w:start="36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1z0">
    <w:name w:val="WW8Num1z0"/>
    <w:qFormat/>
    <w:rPr/>
  </w:style>
  <w:style w:type="character" w:styleId="WW8Num2z0">
    <w:name w:val="WW8Num2z0"/>
    <w:qFormat/>
    <w:rPr>
      <w:rFonts w:ascii="Times New Roman" w:hAnsi="Times New Roman" w:cs="Times New Roman"/>
      <w:b w:val="false"/>
      <w:i w:val="false"/>
      <w:sz w:val="20"/>
      <w:u w:val="none"/>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0"/>
      <w:jc w:val="center"/>
    </w:pPr>
    <w:rPr>
      <w:b/>
      <w:color w:val="0000FF"/>
      <w:sz w:val="28"/>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firstLine="342" w:start="0" w:end="0"/>
      <w:jc w:val="both"/>
    </w:pPr>
    <w:rPr/>
  </w:style>
  <w:style w:type="paragraph" w:styleId="BodyText2">
    <w:name w:val="Body Text 2"/>
    <w:basedOn w:val="Normal"/>
    <w:qFormat/>
    <w:pPr>
      <w:spacing w:before="120" w:after="0"/>
      <w:ind w:hanging="0" w:start="0" w:end="630"/>
      <w:jc w:val="both"/>
    </w:pPr>
    <w:rPr>
      <w:sz w:val="16"/>
    </w:rPr>
  </w:style>
  <w:style w:type="paragraph" w:styleId="ReplyForwardHeaders">
    <w:name w:val="Reply/Forward Headers"/>
    <w:basedOn w:val="Normal"/>
    <w:next w:val="Normal"/>
    <w:qFormat/>
    <w:pPr>
      <w:pBdr>
        <w:left w:val="single" w:sz="18" w:space="1" w:color="000000"/>
      </w:pBdr>
      <w:shd w:fill="E5E5E5" w:val="clear"/>
      <w:ind w:hanging="1080" w:start="1080" w:end="0"/>
      <w:outlineLvl w:val="0"/>
    </w:pPr>
    <w:rPr>
      <w:rFonts w:ascii="Arial" w:hAnsi="Arial" w:cs="Arial"/>
      <w:b/>
      <w:lang w:val="en-CA"/>
    </w:rPr>
  </w:style>
  <w:style w:type="paragraph" w:styleId="Subtitle">
    <w:name w:val="Subtitle"/>
    <w:basedOn w:val="Normal"/>
    <w:next w:val="BodyText"/>
    <w:qFormat/>
    <w:pPr>
      <w:spacing w:before="120" w:after="0"/>
      <w:ind w:firstLine="720" w:start="0" w:end="0"/>
      <w:jc w:val="center"/>
    </w:pPr>
    <w:rPr>
      <w:b/>
      <w:sz w:val="28"/>
    </w:rPr>
  </w:style>
  <w:style w:type="paragraph" w:styleId="BodyTextIndent2">
    <w:name w:val="Body Text Indent 2"/>
    <w:basedOn w:val="Normal"/>
    <w:qFormat/>
    <w:pPr>
      <w:ind w:hanging="0" w:start="-90" w:end="0"/>
      <w:jc w:val="center"/>
    </w:pPr>
    <w:rPr>
      <w:b/>
      <w:i/>
      <w:color w:val="000000"/>
      <w:sz w:val="24"/>
    </w:rPr>
  </w:style>
  <w:style w:type="paragraph" w:styleId="BodyTextIndent3">
    <w:name w:val="Body Text Indent 3"/>
    <w:basedOn w:val="Normal"/>
    <w:qFormat/>
    <w:pPr>
      <w:ind w:hanging="2880" w:start="2880" w:end="0"/>
    </w:pPr>
    <w:rPr>
      <w:u w:val="singl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2000-08-08T12:10:00Z</dcterms:created>
  <dc:creator>Global Equity Derivatives</dc:creator>
  <dc:description/>
  <dc:language>en-CA</dc:language>
  <cp:lastModifiedBy>MaLyons</cp:lastModifiedBy>
  <cp:lastPrinted>2000-08-07T15:21:00Z</cp:lastPrinted>
  <dcterms:modified xsi:type="dcterms:W3CDTF">2000-08-08T12:10:00Z</dcterms:modified>
  <cp:revision>2</cp:revision>
  <dc:subject/>
  <dc:title>Forward Termsheet</dc:title>
</cp:coreProperties>
</file>