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media/image1.wmf" ContentType="image/x-wmf"/>
  <Override PartName="/word/media/image2.wmf" ContentType="image/x-wmf"/>
  <Override PartName="/word/media/image3.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SBHidden"/>
        <w:rPr/>
      </w:pPr>
      <w:r>
        <w:rPr/>
        <w:t>SALOMON SMITH BARNEY</w:t>
      </w:r>
    </w:p>
    <w:tbl>
      <w:tblPr>
        <w:tblW w:w="9864" w:type="dxa"/>
        <w:jc w:val="start"/>
        <w:tblInd w:w="-2007" w:type="dxa"/>
        <w:tblLayout w:type="fixed"/>
        <w:tblCellMar>
          <w:top w:w="0" w:type="dxa"/>
          <w:start w:w="0" w:type="dxa"/>
          <w:bottom w:w="0" w:type="dxa"/>
          <w:end w:w="0" w:type="dxa"/>
        </w:tblCellMar>
      </w:tblPr>
      <w:tblGrid>
        <w:gridCol w:w="2907"/>
        <w:gridCol w:w="2"/>
        <w:gridCol w:w="3427"/>
        <w:gridCol w:w="3528"/>
      </w:tblGrid>
      <w:tr>
        <w:trPr>
          <w:trHeight w:val="369" w:hRule="atLeast"/>
        </w:trPr>
        <w:tc>
          <w:tcPr>
            <w:tcW w:w="6336" w:type="dxa"/>
            <w:gridSpan w:val="3"/>
            <w:tcBorders/>
          </w:tcPr>
          <w:p>
            <w:pPr>
              <w:pStyle w:val="Normal"/>
              <w:rPr/>
            </w:pPr>
            <w:r>
              <w:fldChar w:fldCharType="begin">
                <w:ffData>
                  <w:name w:val="TRC_COMPANYNAME"/>
                  <w:enabled/>
                  <w:calcOnExit w:val="0"/>
                  <w:textInput/>
                </w:ffData>
              </w:fldChar>
            </w:r>
            <w:r>
              <w:rPr>
                <w:lang w:val="en-CA"/>
              </w:rPr>
              <w:instrText xml:space="preserve"> FORMTEXT </w:instrText>
            </w:r>
            <w:r>
              <w:rPr>
                <w:lang w:val="en-CA"/>
              </w:rPr>
            </w:r>
            <w:r>
              <w:rPr>
                <w:lang w:val="en-CA"/>
              </w:rPr>
              <w:fldChar w:fldCharType="separate"/>
            </w:r>
            <w:r>
              <w:rPr>
                <w:lang w:val="en-CA"/>
              </w:rPr>
              <w:t>Enron Corporation</w:t>
            </w:r>
            <w:r>
              <w:rPr>
                <w:lang w:val="en-CA"/>
              </w:rPr>
            </w:r>
            <w:r>
              <w:rPr>
                <w:lang w:val="en-CA"/>
              </w:rPr>
              <w:fldChar w:fldCharType="end"/>
            </w:r>
            <w:r>
              <w:rPr/>
              <w:t xml:space="preserve"> (</w:t>
            </w:r>
            <w:r>
              <w:fldChar w:fldCharType="begin">
                <w:ffData>
                  <w:name w:val="TRC_TICKER"/>
                  <w:enabled/>
                  <w:calcOnExit w:val="0"/>
                  <w:textInput/>
                </w:ffData>
              </w:fldChar>
            </w:r>
            <w:r>
              <w:rPr>
                <w:lang w:val="en-CA"/>
              </w:rPr>
              <w:instrText xml:space="preserve"> FORMTEXT </w:instrText>
            </w:r>
            <w:r>
              <w:rPr>
                <w:lang w:val="en-CA"/>
              </w:rPr>
            </w:r>
            <w:r>
              <w:rPr>
                <w:lang w:val="en-CA"/>
              </w:rPr>
              <w:fldChar w:fldCharType="separate"/>
            </w:r>
            <w:r>
              <w:rPr>
                <w:lang w:val="en-CA"/>
              </w:rPr>
              <w:t>ENE</w:t>
            </w:r>
            <w:r>
              <w:rPr>
                <w:lang w:val="en-CA"/>
              </w:rPr>
            </w:r>
            <w:r>
              <w:rPr>
                <w:lang w:val="en-CA"/>
              </w:rPr>
              <w:fldChar w:fldCharType="end"/>
            </w:r>
            <w:r>
              <w:rPr/>
              <w:t>)</w:t>
            </w:r>
            <w:r>
              <w:fldChar w:fldCharType="begin">
                <w:ffData>
                  <w:name w:val="trc_IB_Relation"/>
                  <w:enabled/>
                  <w:calcOnExit w:val="0"/>
                  <w:textInput/>
                </w:ffData>
              </w:fldChar>
            </w:r>
            <w:r>
              <w:rPr>
                <w:lang w:val="en-CA"/>
              </w:rPr>
              <w:instrText xml:space="preserve"> FORMTEXT </w:instrText>
            </w:r>
            <w:r>
              <w:rPr>
                <w:lang w:val="en-CA"/>
              </w:rPr>
            </w:r>
            <w:r>
              <w:rPr>
                <w:lang w:val="en-CA"/>
              </w:rPr>
              <w:fldChar w:fldCharType="separate"/>
            </w:r>
            <w:r>
              <w:rPr>
                <w:lang w:val="en-CA"/>
              </w:rPr>
              <w:t>#</w:t>
            </w:r>
            <w:r/>
            <w:r>
              <w:rPr>
                <w:lang w:val="en-CA"/>
              </w:rPr>
              <w:fldChar w:fldCharType="end"/>
            </w:r>
            <w:r>
              <w:rPr>
                <w:lang w:val="en-CA"/>
              </w:rPr>
            </w:r>
          </w:p>
          <w:p>
            <w:pPr>
              <w:pStyle w:val="SSBHeadline"/>
              <w:rPr>
                <w:lang w:val="en-CA"/>
              </w:rPr>
            </w:pPr>
            <w:r>
              <w:fldChar w:fldCharType="begin">
                <w:ffData>
                  <w:name w:val="TRC_HEADLINE"/>
                  <w:enabled/>
                  <w:calcOnExit w:val="0"/>
                  <w:textInput/>
                </w:ffData>
              </w:fldChar>
            </w:r>
            <w:r>
              <w:rPr>
                <w:lang w:val="en-CA"/>
              </w:rPr>
              <w:instrText xml:space="preserve"> FORMTEXT </w:instrText>
            </w:r>
            <w:r>
              <w:rPr>
                <w:lang w:val="en-CA"/>
              </w:rPr>
            </w:r>
            <w:r>
              <w:rPr>
                <w:lang w:val="en-CA"/>
              </w:rPr>
              <w:fldChar w:fldCharType="separate"/>
            </w:r>
            <w:r>
              <w:rPr>
                <w:lang w:val="en-CA"/>
              </w:rPr>
              <w:t>ENE: Adjust Historical EPS As Per Restatements; Lower 4Q &amp; 2002 Ests.</w:t>
            </w:r>
            <w:r/>
            <w:r>
              <w:rPr>
                <w:lang w:val="en-CA"/>
              </w:rPr>
              <w:fldChar w:fldCharType="end"/>
            </w:r>
            <w:r>
              <w:rPr>
                <w:lang w:val="en-CA"/>
              </w:rPr>
            </w:r>
          </w:p>
        </w:tc>
        <w:tc>
          <w:tcPr>
            <w:tcW w:w="3528" w:type="dxa"/>
            <w:tcBorders/>
            <w:vAlign w:val="bottom"/>
          </w:tcPr>
          <w:p>
            <w:pPr>
              <w:pStyle w:val="SSBBlackLine"/>
              <w:snapToGrid w:val="false"/>
              <w:ind w:start="2421" w:end="0"/>
              <w:rPr/>
            </w:pPr>
            <w:r>
              <w:rPr/>
            </w:r>
          </w:p>
          <w:p>
            <w:pPr>
              <w:pStyle w:val="SSBRating"/>
              <w:rPr/>
            </w:pPr>
            <w:r>
              <w:fldChar w:fldCharType="begin">
                <w:ffData>
                  <w:name w:val="TRC_RATING"/>
                  <w:enabled/>
                  <w:calcOnExit w:val="0"/>
                  <w:textInput/>
                </w:ffData>
              </w:fldChar>
            </w:r>
            <w:r>
              <w:rPr>
                <w:lang w:val="en-CA"/>
              </w:rPr>
              <w:instrText xml:space="preserve"> FORMTEXT </w:instrText>
            </w:r>
            <w:r>
              <w:rPr>
                <w:lang w:val="en-CA"/>
              </w:rPr>
            </w:r>
            <w:r>
              <w:rPr>
                <w:lang w:val="en-CA"/>
              </w:rPr>
              <w:fldChar w:fldCharType="separate"/>
            </w:r>
            <w:r>
              <w:rPr>
                <w:lang w:val="en-CA"/>
              </w:rPr>
              <w:t>3</w:t>
            </w:r>
            <w:r>
              <w:rPr>
                <w:lang w:val="en-CA"/>
              </w:rPr>
            </w:r>
            <w:r>
              <w:rPr>
                <w:lang w:val="en-CA"/>
              </w:rPr>
              <w:fldChar w:fldCharType="end"/>
            </w:r>
            <w:r>
              <w:fldChar w:fldCharType="begin">
                <w:ffData>
                  <w:name w:val="TRC_RISK"/>
                  <w:enabled/>
                  <w:calcOnExit w:val="0"/>
                  <w:textInput/>
                </w:ffData>
              </w:fldChar>
            </w:r>
            <w:r>
              <w:rPr>
                <w:lang w:val="en-CA"/>
              </w:rPr>
              <w:instrText xml:space="preserve"> FORMTEXT </w:instrText>
            </w:r>
            <w:r>
              <w:rPr>
                <w:lang w:val="en-CA"/>
              </w:rPr>
            </w:r>
            <w:r>
              <w:rPr>
                <w:lang w:val="en-CA"/>
              </w:rPr>
              <w:fldChar w:fldCharType="separate"/>
            </w:r>
            <w:r>
              <w:rPr>
                <w:lang w:val="en-CA"/>
              </w:rPr>
              <w:t>S</w:t>
            </w:r>
            <w:r>
              <w:rPr>
                <w:lang w:val="en-CA"/>
              </w:rPr>
            </w:r>
            <w:r>
              <w:rPr>
                <w:lang w:val="en-CA"/>
              </w:rPr>
              <w:fldChar w:fldCharType="end"/>
            </w:r>
            <w:r>
              <w:rPr>
                <w:rStyle w:val="SSBRatingDescription"/>
              </w:rPr>
              <w:t xml:space="preserve"> (</w:t>
            </w:r>
            <w:r>
              <w:fldChar w:fldCharType="begin">
                <w:ffData>
                  <w:name w:val="TRC_RATINGDESC"/>
                  <w:enabled/>
                  <w:calcOnExit w:val="0"/>
                  <w:textInput/>
                </w:ffData>
              </w:fldChar>
            </w:r>
            <w:r>
              <w:rPr>
                <w:rStyle w:val="SSBRatingDescription"/>
                <w:lang w:val="en-CA"/>
              </w:rPr>
              <w:instrText xml:space="preserve"> FORMTEXT </w:instrText>
            </w:r>
            <w:r>
              <w:rPr>
                <w:rStyle w:val="SSBRatingDescription"/>
                <w:lang w:val="en-CA"/>
              </w:rPr>
            </w:r>
            <w:r>
              <w:rPr>
                <w:rStyle w:val="SSBRatingDescription"/>
                <w:lang w:val="en-CA"/>
              </w:rPr>
              <w:fldChar w:fldCharType="separate"/>
            </w:r>
            <w:r>
              <w:rPr>
                <w:rStyle w:val="SSBRatingDescription"/>
                <w:lang w:val="en-CA"/>
              </w:rPr>
              <w:t>Neutral</w:t>
            </w:r>
            <w:r>
              <w:rPr>
                <w:rStyle w:val="SSBRatingDescription"/>
                <w:lang w:val="en-CA"/>
              </w:rPr>
            </w:r>
            <w:r>
              <w:rPr>
                <w:rStyle w:val="SSBRatingDescription"/>
                <w:lang w:val="en-CA"/>
              </w:rPr>
              <w:fldChar w:fldCharType="end"/>
            </w:r>
            <w:r>
              <w:rPr>
                <w:rStyle w:val="SSBRatingDescription"/>
              </w:rPr>
              <w:t xml:space="preserve">, </w:t>
            </w:r>
            <w:r>
              <w:fldChar w:fldCharType="begin">
                <w:ffData>
                  <w:name w:val="TRC_RISKDESC"/>
                  <w:enabled/>
                  <w:calcOnExit w:val="0"/>
                  <w:textInput/>
                </w:ffData>
              </w:fldChar>
            </w:r>
            <w:r>
              <w:rPr>
                <w:rStyle w:val="SSBRatingDescription"/>
                <w:lang w:val="en-CA"/>
              </w:rPr>
              <w:instrText xml:space="preserve"> FORMTEXT </w:instrText>
            </w:r>
            <w:r>
              <w:rPr>
                <w:rStyle w:val="SSBRatingDescription"/>
                <w:lang w:val="en-CA"/>
              </w:rPr>
            </w:r>
            <w:r>
              <w:rPr>
                <w:rStyle w:val="SSBRatingDescription"/>
                <w:lang w:val="en-CA"/>
              </w:rPr>
              <w:fldChar w:fldCharType="separate"/>
            </w:r>
            <w:r>
              <w:rPr>
                <w:rStyle w:val="SSBRatingDescription"/>
                <w:lang w:val="en-CA"/>
              </w:rPr>
              <w:t>Speculative</w:t>
            </w:r>
            <w:r>
              <w:rPr>
                <w:rStyle w:val="SSBRatingDescription"/>
                <w:lang w:val="en-CA"/>
              </w:rPr>
            </w:r>
            <w:r>
              <w:rPr>
                <w:rStyle w:val="SSBRatingDescription"/>
                <w:lang w:val="en-CA"/>
              </w:rPr>
              <w:fldChar w:fldCharType="end"/>
            </w:r>
            <w:r>
              <w:rPr>
                <w:rStyle w:val="SSBRatingDescription"/>
              </w:rPr>
              <w:t>)</w:t>
            </w:r>
          </w:p>
          <w:p>
            <w:pPr>
              <w:pStyle w:val="SSBMarketCap"/>
              <w:rPr/>
            </w:pPr>
            <w:r>
              <w:rPr/>
              <w:t xml:space="preserve">Mkt Cap:  </w:t>
            </w:r>
            <w:r>
              <w:fldChar w:fldCharType="begin">
                <w:ffData>
                  <w:name w:val="TRC_MKTCAP"/>
                  <w:enabled/>
                  <w:calcOnExit w:val="0"/>
                  <w:textInput/>
                </w:ffData>
              </w:fldChar>
            </w:r>
            <w:r>
              <w:rPr>
                <w:rStyle w:val="SSBMarketCapNumber"/>
                <w:lang w:val="en-CA"/>
              </w:rPr>
              <w:instrText xml:space="preserve"> FORMTEXT </w:instrText>
            </w:r>
            <w:r>
              <w:rPr>
                <w:rStyle w:val="SSBMarketCapNumber"/>
                <w:lang w:val="en-CA"/>
              </w:rPr>
            </w:r>
            <w:r>
              <w:rPr>
                <w:rStyle w:val="SSBMarketCapNumber"/>
                <w:lang w:val="en-CA"/>
              </w:rPr>
              <w:fldChar w:fldCharType="separate"/>
            </w:r>
            <w:r>
              <w:rPr>
                <w:rStyle w:val="SSBMarketCapNumber"/>
                <w:lang w:val="en-CA"/>
              </w:rPr>
              <w:t>$7,994.0</w:t>
            </w:r>
            <w:r>
              <w:rPr>
                <w:rStyle w:val="SSBMarketCapNumber"/>
                <w:lang w:val="en-CA"/>
              </w:rPr>
            </w:r>
            <w:r>
              <w:rPr>
                <w:rStyle w:val="SSBMarketCapNumber"/>
                <w:lang w:val="en-CA"/>
              </w:rPr>
              <w:fldChar w:fldCharType="end"/>
            </w:r>
            <w:r>
              <w:rPr>
                <w:rStyle w:val="SSBMarketCapNumber"/>
              </w:rPr>
              <w:t xml:space="preserve"> </w:t>
            </w:r>
            <w:r>
              <w:fldChar w:fldCharType="begin">
                <w:ffData>
                  <w:name w:val="TRC_MKTCAP_U"/>
                  <w:enabled/>
                  <w:calcOnExit w:val="0"/>
                  <w:textInput/>
                </w:ffData>
              </w:fldChar>
            </w:r>
            <w:r>
              <w:rPr>
                <w:rStyle w:val="SSBMarketCapNumber"/>
                <w:lang w:val="en-CA"/>
              </w:rPr>
              <w:instrText xml:space="preserve"> FORMTEXT </w:instrText>
            </w:r>
            <w:r>
              <w:rPr>
                <w:rStyle w:val="SSBMarketCapNumber"/>
                <w:lang w:val="en-CA"/>
              </w:rPr>
            </w:r>
            <w:r>
              <w:rPr>
                <w:rStyle w:val="SSBMarketCapNumber"/>
                <w:lang w:val="en-CA"/>
              </w:rPr>
              <w:fldChar w:fldCharType="separate"/>
            </w:r>
            <w:r>
              <w:rPr>
                <w:rStyle w:val="SSBMarketCapNumber"/>
                <w:lang w:val="en-CA"/>
              </w:rPr>
              <w:t>mil.</w:t>
            </w:r>
            <w:r/>
            <w:r>
              <w:rPr>
                <w:rStyle w:val="SSBMarketCapNumber"/>
                <w:lang w:val="en-CA"/>
              </w:rPr>
              <w:fldChar w:fldCharType="end"/>
            </w:r>
            <w:r>
              <w:rPr>
                <w:rStyle w:val="SSBMarketCapNumber"/>
                <w:lang w:val="en-CA"/>
              </w:rPr>
            </w:r>
          </w:p>
        </w:tc>
      </w:tr>
      <w:tr>
        <w:trPr>
          <w:trHeight w:val="120" w:hRule="exact"/>
        </w:trPr>
        <w:tc>
          <w:tcPr>
            <w:tcW w:w="2909" w:type="dxa"/>
            <w:gridSpan w:val="2"/>
            <w:tcBorders/>
          </w:tcPr>
          <w:p>
            <w:pPr>
              <w:pStyle w:val="Normal"/>
              <w:snapToGrid w:val="false"/>
              <w:rPr/>
            </w:pPr>
            <w:r>
              <w:rPr/>
            </w:r>
          </w:p>
        </w:tc>
        <w:tc>
          <w:tcPr>
            <w:tcW w:w="6955" w:type="dxa"/>
            <w:gridSpan w:val="2"/>
            <w:tcBorders/>
          </w:tcPr>
          <w:p>
            <w:pPr>
              <w:pStyle w:val="Normal"/>
              <w:snapToGrid w:val="false"/>
              <w:rPr/>
            </w:pPr>
            <w:r>
              <w:rPr/>
            </w:r>
          </w:p>
        </w:tc>
      </w:tr>
      <w:tr>
        <w:trPr>
          <w:trHeight w:val="120" w:hRule="exact"/>
        </w:trPr>
        <w:tc>
          <w:tcPr>
            <w:tcW w:w="2909" w:type="dxa"/>
            <w:gridSpan w:val="2"/>
            <w:tcBorders>
              <w:top w:val="single" w:sz="12" w:space="0" w:color="808080"/>
            </w:tcBorders>
          </w:tcPr>
          <w:p>
            <w:pPr>
              <w:pStyle w:val="Normal"/>
              <w:snapToGrid w:val="false"/>
              <w:rPr/>
            </w:pPr>
            <w:r>
              <w:rPr/>
            </w:r>
          </w:p>
        </w:tc>
        <w:tc>
          <w:tcPr>
            <w:tcW w:w="6955" w:type="dxa"/>
            <w:gridSpan w:val="2"/>
            <w:tcBorders>
              <w:top w:val="single" w:sz="12" w:space="0" w:color="808080"/>
            </w:tcBorders>
          </w:tcPr>
          <w:p>
            <w:pPr>
              <w:pStyle w:val="Normal"/>
              <w:snapToGrid w:val="false"/>
              <w:rPr/>
            </w:pPr>
            <w:r>
              <w:rPr/>
            </w:r>
          </w:p>
        </w:tc>
      </w:tr>
      <w:tr>
        <w:trPr>
          <w:trHeight w:val="3840" w:hRule="exact"/>
        </w:trPr>
        <w:tc>
          <w:tcPr>
            <w:tcW w:w="2907" w:type="dxa"/>
            <w:tcBorders/>
          </w:tcPr>
          <w:p>
            <w:pPr>
              <w:pStyle w:val="SSBReleaseDate"/>
              <w:rPr>
                <w:lang w:val="en-CA"/>
              </w:rPr>
            </w:pPr>
            <w:r>
              <w:fldChar w:fldCharType="begin">
                <w:ffData>
                  <w:name w:val="TRC_RELEASEDATE"/>
                  <w:enabled/>
                  <w:calcOnExit w:val="0"/>
                  <w:textInput/>
                </w:ffData>
              </w:fldChar>
            </w:r>
            <w:r>
              <w:rPr>
                <w:lang w:val="en-CA"/>
              </w:rPr>
              <w:instrText xml:space="preserve"> FORMTEXT </w:instrText>
            </w:r>
            <w:r>
              <w:rPr>
                <w:lang w:val="en-CA"/>
              </w:rPr>
            </w:r>
            <w:r>
              <w:rPr>
                <w:lang w:val="en-CA"/>
              </w:rPr>
              <w:fldChar w:fldCharType="separate"/>
            </w:r>
            <w:r>
              <w:rPr>
                <w:lang w:val="en-CA"/>
              </w:rPr>
              <w:t>November 14, 2001</w:t>
            </w:r>
            <w:r/>
            <w:r>
              <w:rPr>
                <w:lang w:val="en-CA"/>
              </w:rPr>
              <w:fldChar w:fldCharType="end"/>
            </w:r>
            <w:r>
              <w:rPr>
                <w:lang w:val="en-CA"/>
              </w:rPr>
            </w:r>
          </w:p>
          <w:p>
            <w:pPr>
              <w:pStyle w:val="SSBBlackLine"/>
              <w:ind w:end="1890"/>
              <w:rPr/>
            </w:pPr>
            <w:r>
              <w:rPr/>
            </w:r>
          </w:p>
          <w:p>
            <w:pPr>
              <w:pStyle w:val="SSBHeading"/>
              <w:rPr>
                <w:lang w:val="en-CA"/>
              </w:rPr>
            </w:pPr>
            <w:r>
              <w:fldChar w:fldCharType="begin">
                <w:ffData>
                  <w:name w:val="trc_industry"/>
                  <w:enabled/>
                  <w:calcOnExit w:val="0"/>
                  <w:textInput/>
                </w:ffData>
              </w:fldChar>
            </w:r>
            <w:r>
              <w:rPr>
                <w:lang w:val="en-CA"/>
              </w:rPr>
              <w:instrText xml:space="preserve"> FORMTEXT </w:instrText>
            </w:r>
            <w:r>
              <w:rPr>
                <w:lang w:val="en-CA"/>
              </w:rPr>
            </w:r>
            <w:r>
              <w:rPr>
                <w:lang w:val="en-CA"/>
              </w:rPr>
              <w:fldChar w:fldCharType="separate"/>
            </w:r>
            <w:r>
              <w:rPr>
                <w:lang w:val="en-CA"/>
              </w:rPr>
              <w:t>Power &amp; Natural Gas</w:t>
            </w:r>
            <w:r/>
            <w:r>
              <w:rPr>
                <w:lang w:val="en-CA"/>
              </w:rPr>
              <w:fldChar w:fldCharType="end"/>
            </w:r>
            <w:r>
              <w:rPr>
                <w:lang w:val="en-CA"/>
              </w:rPr>
            </w:r>
          </w:p>
          <w:p>
            <w:pPr>
              <w:pStyle w:val="SSBAnalystName"/>
              <w:rPr/>
            </w:pPr>
            <w:r>
              <w:fldChar w:fldCharType="begin">
                <w:ffData>
                  <w:name w:val="TRC_ANALYSTNAME1"/>
                  <w:enabled/>
                  <w:calcOnExit w:val="0"/>
                  <w:textInput/>
                </w:ffData>
              </w:fldChar>
            </w:r>
            <w:r>
              <w:rPr/>
              <w:instrText xml:space="preserve"> FORMTEXT </w:instrText>
            </w:r>
            <w:r>
              <w:rPr/>
            </w:r>
            <w:r>
              <w:rPr/>
              <w:fldChar w:fldCharType="separate"/>
            </w:r>
            <w:r>
              <w:rPr/>
              <w:t>Raymond Niles</w:t>
            </w:r>
            <w:r/>
            <w:r>
              <w:rPr/>
              <w:fldChar w:fldCharType="end"/>
            </w:r>
            <w:r>
              <w:rPr/>
            </w:r>
          </w:p>
          <w:p>
            <w:pPr>
              <w:pStyle w:val="SSBAnalystPhone"/>
              <w:rPr>
                <w:lang w:val="en-CA"/>
              </w:rPr>
            </w:pPr>
            <w:r>
              <w:fldChar w:fldCharType="begin">
                <w:ffData>
                  <w:name w:val="TRC_ANALYSTPHONE1"/>
                  <w:enabled/>
                  <w:calcOnExit w:val="0"/>
                  <w:textInput/>
                </w:ffData>
              </w:fldChar>
            </w:r>
            <w:r>
              <w:rPr>
                <w:lang w:val="en-CA"/>
              </w:rPr>
              <w:instrText xml:space="preserve"> FORMTEXT </w:instrText>
            </w:r>
            <w:r>
              <w:rPr>
                <w:lang w:val="en-CA"/>
              </w:rPr>
            </w:r>
            <w:r>
              <w:rPr>
                <w:lang w:val="en-CA"/>
              </w:rPr>
              <w:fldChar w:fldCharType="separate"/>
            </w:r>
            <w:r>
              <w:rPr>
                <w:lang w:val="en-CA"/>
              </w:rPr>
              <w:t>+1-212-816-2807</w:t>
            </w:r>
            <w:r/>
            <w:r>
              <w:rPr>
                <w:lang w:val="en-CA"/>
              </w:rPr>
              <w:fldChar w:fldCharType="end"/>
            </w:r>
            <w:r>
              <w:rPr>
                <w:lang w:val="en-CA"/>
              </w:rPr>
            </w:r>
          </w:p>
          <w:p>
            <w:pPr>
              <w:pStyle w:val="SSBAnalystEmail"/>
              <w:rPr>
                <w:lang w:val="en-CA"/>
              </w:rPr>
            </w:pPr>
            <w:r>
              <w:fldChar w:fldCharType="begin">
                <w:ffData>
                  <w:name w:val="TRC_ANALYSTEMAIL1"/>
                  <w:enabled/>
                  <w:calcOnExit w:val="0"/>
                  <w:textInput/>
                </w:ffData>
              </w:fldChar>
            </w:r>
            <w:r>
              <w:rPr>
                <w:lang w:val="en-CA"/>
              </w:rPr>
              <w:instrText xml:space="preserve"> FORMTEXT </w:instrText>
            </w:r>
            <w:r>
              <w:rPr>
                <w:lang w:val="en-CA"/>
              </w:rPr>
            </w:r>
            <w:r>
              <w:rPr>
                <w:lang w:val="en-CA"/>
              </w:rPr>
              <w:fldChar w:fldCharType="separate"/>
            </w:r>
            <w:r>
              <w:rPr>
                <w:lang w:val="en-CA"/>
              </w:rPr>
              <w:t>ray.niles@ssmb.com</w:t>
            </w:r>
            <w:r/>
            <w:r>
              <w:rPr>
                <w:lang w:val="en-CA"/>
              </w:rPr>
              <w:fldChar w:fldCharType="end"/>
            </w:r>
            <w:r>
              <w:rPr>
                <w:lang w:val="en-CA"/>
              </w:rPr>
            </w:r>
          </w:p>
          <w:p>
            <w:pPr>
              <w:pStyle w:val="SSBAnalystName"/>
              <w:rPr>
                <w:b w:val="false"/>
              </w:rPr>
            </w:pPr>
            <w:r>
              <w:fldChar w:fldCharType="begin">
                <w:ffData>
                  <w:name w:val="TRC_ANALYSTNAME2"/>
                  <w:enabled/>
                  <w:calcOnExit w:val="0"/>
                  <w:textInput/>
                </w:ffData>
              </w:fldChar>
            </w:r>
            <w:r>
              <w:rPr>
                <w:b w:val="false"/>
              </w:rPr>
              <w:instrText xml:space="preserve"> FORMTEXT </w:instrText>
            </w:r>
            <w:r>
              <w:rPr>
                <w:b w:val="false"/>
              </w:rPr>
            </w:r>
            <w:r>
              <w:rPr>
                <w:b w:val="false"/>
              </w:rPr>
              <w:fldChar w:fldCharType="separate"/>
            </w:r>
            <w:r>
              <w:rPr>
                <w:b w:val="false"/>
              </w:rPr>
              <w:t>Benjamin Morton</w:t>
            </w:r>
            <w:r/>
            <w:r>
              <w:rPr>
                <w:b w:val="false"/>
              </w:rPr>
              <w:fldChar w:fldCharType="end"/>
            </w:r>
            <w:r>
              <w:rPr>
                <w:b w:val="false"/>
              </w:rPr>
            </w:r>
          </w:p>
          <w:p>
            <w:pPr>
              <w:pStyle w:val="SSBAnalystPhone"/>
              <w:rPr>
                <w:lang w:val="en-CA"/>
              </w:rPr>
            </w:pPr>
            <w:r>
              <w:fldChar w:fldCharType="begin">
                <w:ffData>
                  <w:name w:val="TRC_ANALYSTPHONE2"/>
                  <w:enabled/>
                  <w:calcOnExit w:val="0"/>
                  <w:textInput/>
                </w:ffData>
              </w:fldChar>
            </w:r>
            <w:r>
              <w:rPr>
                <w:lang w:val="en-CA"/>
              </w:rPr>
              <w:instrText xml:space="preserve"> FORMTEXT </w:instrText>
            </w:r>
            <w:r>
              <w:rPr>
                <w:lang w:val="en-CA"/>
              </w:rPr>
            </w:r>
            <w:r>
              <w:rPr>
                <w:lang w:val="en-CA"/>
              </w:rPr>
              <w:fldChar w:fldCharType="separate"/>
            </w:r>
            <w:r>
              <w:rPr>
                <w:lang w:val="en-CA"/>
              </w:rPr>
              <w:t>+1-212-816-2086</w:t>
            </w:r>
            <w:r/>
            <w:r>
              <w:rPr>
                <w:lang w:val="en-CA"/>
              </w:rPr>
              <w:fldChar w:fldCharType="end"/>
            </w:r>
            <w:r>
              <w:rPr>
                <w:lang w:val="en-CA"/>
              </w:rPr>
            </w:r>
          </w:p>
          <w:p>
            <w:pPr>
              <w:pStyle w:val="SSBAnalystEmail"/>
              <w:rPr>
                <w:vanish/>
                <w:lang w:val="en-CA"/>
              </w:rPr>
            </w:pPr>
            <w:r>
              <w:fldChar w:fldCharType="begin">
                <w:ffData>
                  <w:name w:val="TRC_ANALYSTEMAIL2"/>
                  <w:enabled/>
                  <w:calcOnExit w:val="0"/>
                  <w:textInput/>
                </w:ffData>
              </w:fldChar>
            </w:r>
            <w:r>
              <w:rPr>
                <w:vanish/>
                <w:lang w:val="en-CA"/>
              </w:rPr>
              <w:instrText xml:space="preserve"> FORMTEXT </w:instrText>
            </w:r>
            <w:r>
              <w:rPr>
                <w:vanish/>
                <w:lang w:val="en-CA"/>
              </w:rPr>
            </w:r>
            <w:r>
              <w:rPr>
                <w:vanish/>
                <w:lang w:val="en-CA"/>
              </w:rPr>
              <w:fldChar w:fldCharType="separate"/>
            </w:r>
            <w:r>
              <w:rPr>
                <w:vanish/>
                <w:lang w:val="en-CA"/>
              </w:rPr>
              <w:t>benjamin.morton@ssmb.com</w:t>
            </w:r>
            <w:r/>
            <w:r>
              <w:rPr>
                <w:vanish/>
                <w:lang w:val="en-CA"/>
              </w:rPr>
              <w:fldChar w:fldCharType="end"/>
            </w:r>
            <w:r>
              <w:rPr>
                <w:vanish/>
                <w:lang w:val="en-CA"/>
              </w:rPr>
            </w:r>
          </w:p>
          <w:p>
            <w:pPr>
              <w:pStyle w:val="SSBAnalystName"/>
              <w:rPr>
                <w:b w:val="false"/>
              </w:rPr>
            </w:pPr>
            <w:r>
              <w:fldChar w:fldCharType="begin">
                <w:ffData>
                  <w:name w:val="TRC_ANALYSTNAME3"/>
                  <w:enabled/>
                  <w:calcOnExit w:val="0"/>
                  <w:textInput/>
                </w:ffData>
              </w:fldChar>
            </w:r>
            <w:r>
              <w:rPr>
                <w:b w:val="false"/>
              </w:rPr>
              <w:instrText xml:space="preserve"> FORMTEXT </w:instrText>
            </w:r>
            <w:r>
              <w:rPr>
                <w:b w:val="false"/>
              </w:rPr>
            </w:r>
            <w:r>
              <w:rPr>
                <w:b w:val="false"/>
              </w:rPr>
              <w:fldChar w:fldCharType="separate"/>
            </w:r>
            <w:r>
              <w:rPr>
                <w:b w:val="false"/>
              </w:rPr>
              <w:t>Brian Taddeo</w:t>
            </w:r>
            <w:r/>
            <w:r>
              <w:rPr>
                <w:b w:val="false"/>
              </w:rPr>
              <w:fldChar w:fldCharType="end"/>
            </w:r>
            <w:r>
              <w:rPr>
                <w:b w:val="false"/>
              </w:rPr>
            </w:r>
          </w:p>
          <w:p>
            <w:pPr>
              <w:pStyle w:val="SSBAnalystPhone"/>
              <w:rPr>
                <w:lang w:val="en-CA"/>
              </w:rPr>
            </w:pPr>
            <w:r>
              <w:fldChar w:fldCharType="begin">
                <w:ffData>
                  <w:name w:val="TRC_ANALYSTPHONE3"/>
                  <w:enabled/>
                  <w:calcOnExit w:val="0"/>
                  <w:textInput/>
                </w:ffData>
              </w:fldChar>
            </w:r>
            <w:r>
              <w:rPr>
                <w:lang w:val="en-CA"/>
              </w:rPr>
              <w:instrText xml:space="preserve"> FORMTEXT </w:instrText>
            </w:r>
            <w:r>
              <w:rPr>
                <w:lang w:val="en-CA"/>
              </w:rPr>
            </w:r>
            <w:r>
              <w:rPr>
                <w:lang w:val="en-CA"/>
              </w:rPr>
              <w:fldChar w:fldCharType="separate"/>
            </w:r>
            <w:r>
              <w:rPr>
                <w:lang w:val="en-CA"/>
              </w:rPr>
              <w:t>+1-212-806-5013</w:t>
            </w:r>
            <w:r/>
            <w:r>
              <w:rPr>
                <w:lang w:val="en-CA"/>
              </w:rPr>
              <w:fldChar w:fldCharType="end"/>
            </w:r>
            <w:r>
              <w:rPr>
                <w:lang w:val="en-CA"/>
              </w:rPr>
            </w:r>
          </w:p>
          <w:p>
            <w:pPr>
              <w:pStyle w:val="SSBAnalystEmail"/>
              <w:rPr>
                <w:vanish/>
                <w:lang w:val="en-CA"/>
              </w:rPr>
            </w:pPr>
            <w:r>
              <w:fldChar w:fldCharType="begin">
                <w:ffData>
                  <w:name w:val="TRC_ANALYSTEMAIL3"/>
                  <w:enabled/>
                  <w:calcOnExit w:val="0"/>
                  <w:textInput/>
                </w:ffData>
              </w:fldChar>
            </w:r>
            <w:r>
              <w:rPr>
                <w:vanish/>
                <w:lang w:val="en-CA"/>
              </w:rPr>
              <w:instrText xml:space="preserve"> FORMTEXT </w:instrText>
            </w:r>
            <w:r>
              <w:rPr>
                <w:vanish/>
                <w:lang w:val="en-CA"/>
              </w:rPr>
            </w:r>
            <w:r>
              <w:rPr>
                <w:vanish/>
                <w:lang w:val="en-CA"/>
              </w:rPr>
              <w:fldChar w:fldCharType="separate"/>
            </w:r>
            <w:r>
              <w:rPr>
                <w:vanish/>
                <w:lang w:val="en-CA"/>
              </w:rPr>
              <w:t>brian.t.taddeo@ssmb.com</w:t>
            </w:r>
            <w:r/>
            <w:r>
              <w:rPr>
                <w:vanish/>
                <w:lang w:val="en-CA"/>
              </w:rPr>
              <w:fldChar w:fldCharType="end"/>
            </w:r>
            <w:r>
              <w:rPr>
                <w:vanish/>
                <w:lang w:val="en-CA"/>
              </w:rPr>
            </w:r>
          </w:p>
        </w:tc>
        <w:tc>
          <w:tcPr>
            <w:tcW w:w="6957" w:type="dxa"/>
            <w:gridSpan w:val="3"/>
            <w:tcBorders/>
          </w:tcPr>
          <w:p>
            <w:pPr>
              <w:pStyle w:val="SSBSummaryHeading"/>
              <w:rPr/>
            </w:pPr>
            <w:r>
              <w:rPr/>
              <w:t>SUMMARY</w:t>
            </w:r>
          </w:p>
          <w:p>
            <w:pPr>
              <w:pStyle w:val="SSBSummary"/>
              <w:numPr>
                <w:ilvl w:val="0"/>
                <w:numId w:val="2"/>
              </w:numPr>
              <w:ind w:hanging="0" w:start="0"/>
              <w:rPr>
                <w:lang w:val="en-CA"/>
              </w:rPr>
            </w:pPr>
            <w:r>
              <w:fldChar w:fldCharType="begin">
                <w:ffData>
                  <w:name w:val="Summary"/>
                  <w:enabled/>
                  <w:calcOnExit w:val="0"/>
                  <w:textInput/>
                </w:ffData>
              </w:fldChar>
            </w:r>
            <w:r>
              <w:rPr>
                <w:lang w:val="en-CA"/>
              </w:rPr>
              <w:instrText xml:space="preserve"> FORMTEXT </w:instrText>
            </w:r>
            <w:r>
              <w:rPr>
                <w:lang w:val="en-CA"/>
              </w:rPr>
            </w:r>
            <w:r>
              <w:rPr>
                <w:lang w:val="en-CA"/>
              </w:rPr>
              <w:fldChar w:fldCharType="separate"/>
            </w:r>
            <w:r>
              <w:t>We adjust Enron's historical EPS for the restatements filed in their 8K published on November 8th.</w:t>
            </w:r>
            <w:r>
              <w:rPr>
                <w:lang w:val="en-CA"/>
              </w:rPr>
            </w:r>
          </w:p>
          <w:p>
            <w:pPr>
              <w:pStyle w:val="SSBSummary"/>
              <w:numPr>
                <w:ilvl w:val="0"/>
                <w:numId w:val="2"/>
              </w:numPr>
              <w:ind w:hanging="0" w:start="0"/>
              <w:rPr>
                <w:lang w:val="en-CA"/>
              </w:rPr>
            </w:pPr>
            <w:r>
              <w:rPr>
                <w:lang w:val="en-CA"/>
              </w:rPr>
              <w:t>We revise our stand-alone 2002 EPS estimates to $1.50 from $2.15.  We think this could prove conservative, but await further data on Enron's ongoing performance in their energy trading &amp; marketing business.</w:t>
            </w:r>
          </w:p>
          <w:p>
            <w:pPr>
              <w:pStyle w:val="SSBSummary"/>
              <w:numPr>
                <w:ilvl w:val="0"/>
                <w:numId w:val="2"/>
              </w:numPr>
              <w:spacing w:before="0" w:after="60"/>
              <w:ind w:hanging="0" w:start="0"/>
              <w:rPr/>
            </w:pPr>
            <w:r>
              <w:rPr>
                <w:lang w:val="en-CA"/>
              </w:rPr>
              <w:t>Enron is currently trading at a relatively large 20% discount to their implied merger value of $12.40.  We think this spread could contract as certainty improves over accounting issues, stand-alone earnings power, and the scope of hurdles to merger completion.     </w:t>
            </w:r>
            <w:r/>
            <w:r>
              <w:rPr>
                <w:lang w:val="en-CA"/>
              </w:rPr>
              <w:fldChar w:fldCharType="end"/>
            </w:r>
            <w:r>
              <w:rPr>
                <w:lang w:val="en-CA"/>
              </w:rPr>
            </w:r>
          </w:p>
        </w:tc>
      </w:tr>
      <w:tr>
        <w:trPr>
          <w:trHeight w:val="120" w:hRule="exact"/>
        </w:trPr>
        <w:tc>
          <w:tcPr>
            <w:tcW w:w="2909" w:type="dxa"/>
            <w:gridSpan w:val="2"/>
            <w:tcBorders>
              <w:bottom w:val="single" w:sz="12" w:space="0" w:color="808080"/>
            </w:tcBorders>
          </w:tcPr>
          <w:p>
            <w:pPr>
              <w:pStyle w:val="Normal"/>
              <w:snapToGrid w:val="false"/>
              <w:rPr>
                <w:caps/>
                <w:sz w:val="24"/>
              </w:rPr>
            </w:pPr>
            <w:r>
              <w:rPr>
                <w:caps/>
                <w:sz w:val="24"/>
              </w:rPr>
            </w:r>
          </w:p>
        </w:tc>
        <w:tc>
          <w:tcPr>
            <w:tcW w:w="6955" w:type="dxa"/>
            <w:gridSpan w:val="2"/>
            <w:tcBorders>
              <w:bottom w:val="single" w:sz="12" w:space="0" w:color="808080"/>
            </w:tcBorders>
          </w:tcPr>
          <w:p>
            <w:pPr>
              <w:pStyle w:val="Normal"/>
              <w:snapToGrid w:val="false"/>
              <w:rPr/>
            </w:pPr>
            <w:r>
              <w:rPr/>
            </w:r>
          </w:p>
        </w:tc>
      </w:tr>
    </w:tbl>
    <w:p>
      <w:pPr>
        <w:sectPr>
          <w:headerReference w:type="default" r:id="rId2"/>
          <w:headerReference w:type="first" r:id="rId3"/>
          <w:footerReference w:type="default" r:id="rId4"/>
          <w:footerReference w:type="first" r:id="rId5"/>
          <w:type w:val="continuous"/>
          <w:pgSz w:w="12240" w:h="15840"/>
          <w:pgMar w:left="3096" w:right="1310" w:gutter="0" w:header="504" w:top="1008" w:footer="576" w:bottom="965"/>
          <w:formProt w:val="true"/>
          <w:titlePg/>
          <w:textDirection w:val="lrTb"/>
          <w:docGrid w:type="default" w:linePitch="360" w:charSpace="0"/>
        </w:sectPr>
      </w:pPr>
    </w:p>
    <w:p>
      <w:pPr>
        <w:pStyle w:val="SSBTableSpacer"/>
        <w:rPr/>
      </w:pPr>
      <w:r>
        <w:rPr/>
      </w:r>
      <w:bookmarkStart w:id="0" w:name="SSB_Data"/>
      <w:bookmarkStart w:id="1" w:name="SSB_Data"/>
      <w:bookmarkEnd w:id="1"/>
    </w:p>
    <w:tbl>
      <w:tblPr>
        <w:tblW w:w="2880" w:type="dxa"/>
        <w:jc w:val="start"/>
        <w:tblInd w:w="-2016" w:type="dxa"/>
        <w:tblLayout w:type="fixed"/>
        <w:tblCellMar>
          <w:top w:w="0" w:type="dxa"/>
          <w:start w:w="0" w:type="dxa"/>
          <w:bottom w:w="0" w:type="dxa"/>
          <w:end w:w="0" w:type="dxa"/>
        </w:tblCellMar>
      </w:tblPr>
      <w:tblGrid>
        <w:gridCol w:w="1728"/>
        <w:gridCol w:w="432"/>
        <w:gridCol w:w="720"/>
      </w:tblGrid>
      <w:tr>
        <w:trPr/>
        <w:tc>
          <w:tcPr>
            <w:tcW w:w="2880" w:type="dxa"/>
            <w:gridSpan w:val="3"/>
            <w:tcBorders/>
          </w:tcPr>
          <w:p>
            <w:pPr>
              <w:pStyle w:val="SSBHeading"/>
              <w:keepNext w:val="true"/>
              <w:keepLines/>
              <w:spacing w:lineRule="exact" w:line="230" w:before="0" w:after="60"/>
              <w:rPr/>
            </w:pPr>
            <w:r>
              <w:rPr/>
              <w:t>Fundamentals</w:t>
            </w:r>
          </w:p>
        </w:tc>
      </w:tr>
      <w:tr>
        <w:trPr/>
        <w:tc>
          <w:tcPr>
            <w:tcW w:w="2160" w:type="dxa"/>
            <w:gridSpan w:val="2"/>
            <w:tcBorders/>
          </w:tcPr>
          <w:p>
            <w:pPr>
              <w:pStyle w:val="SSBData"/>
              <w:spacing w:lineRule="exact" w:line="220" w:before="0" w:after="60"/>
              <w:rPr/>
            </w:pPr>
            <w:r>
              <w:rPr/>
              <w:t>P/E  (</w:t>
            </w:r>
            <w:r>
              <w:fldChar w:fldCharType="begin">
                <w:ffData>
                  <w:name w:val="trc_FDYear2"/>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2PE"/>
                  <w:enabled/>
                  <w:calcOnExit w:val="0"/>
                  <w:textInput/>
                </w:ffData>
              </w:fldChar>
            </w:r>
            <w:r>
              <w:rPr>
                <w:lang w:val="en-CA"/>
              </w:rPr>
              <w:instrText xml:space="preserve"> FORMTEXT </w:instrText>
            </w:r>
            <w:r>
              <w:rPr>
                <w:lang w:val="en-CA"/>
              </w:rPr>
            </w:r>
            <w:r>
              <w:rPr>
                <w:lang w:val="en-CA"/>
              </w:rPr>
              <w:fldChar w:fldCharType="separate"/>
            </w:r>
            <w:r>
              <w:rPr>
                <w:lang w:val="en-CA"/>
              </w:rPr>
              <w:t>5.8x</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P/E  (</w:t>
            </w:r>
            <w:r>
              <w:fldChar w:fldCharType="begin">
                <w:ffData>
                  <w:name w:val="trc_FDYear3"/>
                  <w:enabled/>
                  <w:calcOnExit w:val="0"/>
                  <w:textInput/>
                </w:ffData>
              </w:fldChar>
            </w:r>
            <w:r>
              <w:rPr>
                <w:lang w:val="en-CA"/>
              </w:rPr>
              <w:instrText xml:space="preserve"> FORMTEXT </w:instrText>
            </w:r>
            <w:r>
              <w:rPr>
                <w:lang w:val="en-CA"/>
              </w:rPr>
            </w:r>
            <w:r>
              <w:rPr>
                <w:lang w:val="en-CA"/>
              </w:rPr>
              <w:fldChar w:fldCharType="separate"/>
            </w:r>
            <w:r>
              <w:rPr>
                <w:lang w:val="en-CA"/>
              </w:rPr>
              <w:t>12/02E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3PE"/>
                  <w:enabled/>
                  <w:calcOnExit w:val="0"/>
                  <w:textInput/>
                </w:ffData>
              </w:fldChar>
            </w:r>
            <w:r>
              <w:rPr>
                <w:lang w:val="en-CA"/>
              </w:rPr>
              <w:instrText xml:space="preserve"> FORMTEXT </w:instrText>
            </w:r>
            <w:r>
              <w:rPr>
                <w:lang w:val="en-CA"/>
              </w:rPr>
            </w:r>
            <w:r>
              <w:rPr>
                <w:lang w:val="en-CA"/>
              </w:rPr>
              <w:fldChar w:fldCharType="separate"/>
            </w:r>
            <w:r>
              <w:rPr>
                <w:lang w:val="en-CA"/>
              </w:rPr>
              <w:t>6.7x</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TEV/EBITDA  (</w:t>
            </w:r>
            <w:r>
              <w:fldChar w:fldCharType="begin">
                <w:ffData>
                  <w:name w:val="trc_FDYear2_a1"/>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2EVTOEBITDA"/>
                  <w:enabled/>
                  <w:calcOnExit w:val="0"/>
                  <w:textInput/>
                </w:ffData>
              </w:fldChar>
            </w:r>
            <w:r>
              <w:rPr>
                <w:lang w:val="en-CA"/>
              </w:rPr>
              <w:instrText xml:space="preserve"> FORMTEXT </w:instrText>
            </w:r>
            <w:r>
              <w:rPr>
                <w:lang w:val="en-CA"/>
              </w:rPr>
            </w:r>
            <w:r>
              <w:rPr>
                <w:lang w:val="en-CA"/>
              </w:rPr>
              <w:fldChar w:fldCharType="separate"/>
            </w:r>
            <w:r>
              <w:rPr>
                <w:lang w:val="en-CA"/>
              </w:rPr>
              <w:t>NA</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TEV/EBITDA  (</w:t>
            </w:r>
            <w:r>
              <w:fldChar w:fldCharType="begin">
                <w:ffData>
                  <w:name w:val="trc_FDYear3_a1"/>
                  <w:enabled/>
                  <w:calcOnExit w:val="0"/>
                  <w:textInput/>
                </w:ffData>
              </w:fldChar>
            </w:r>
            <w:r>
              <w:rPr>
                <w:lang w:val="en-CA"/>
              </w:rPr>
              <w:instrText xml:space="preserve"> FORMTEXT </w:instrText>
            </w:r>
            <w:r>
              <w:rPr>
                <w:lang w:val="en-CA"/>
              </w:rPr>
            </w:r>
            <w:r>
              <w:rPr>
                <w:lang w:val="en-CA"/>
              </w:rPr>
              <w:fldChar w:fldCharType="separate"/>
            </w:r>
            <w:r>
              <w:rPr>
                <w:lang w:val="en-CA"/>
              </w:rPr>
              <w:t>12/02E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3EVTOEBITDA"/>
                  <w:enabled/>
                  <w:calcOnExit w:val="0"/>
                  <w:textInput/>
                </w:ffData>
              </w:fldChar>
            </w:r>
            <w:r>
              <w:rPr>
                <w:lang w:val="en-CA"/>
              </w:rPr>
              <w:instrText xml:space="preserve"> FORMTEXT </w:instrText>
            </w:r>
            <w:r>
              <w:rPr>
                <w:lang w:val="en-CA"/>
              </w:rPr>
            </w:r>
            <w:r>
              <w:rPr>
                <w:lang w:val="en-CA"/>
              </w:rPr>
              <w:fldChar w:fldCharType="separate"/>
            </w:r>
            <w:r>
              <w:rPr>
                <w:lang w:val="en-CA"/>
              </w:rPr>
              <w:t>NA</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Book Value/Share  (</w:t>
            </w:r>
            <w:r>
              <w:fldChar w:fldCharType="begin">
                <w:ffData>
                  <w:name w:val="trc_FDYear2_a2"/>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2BVPS"/>
                  <w:enabled/>
                  <w:calcOnExit w:val="0"/>
                  <w:textInput/>
                </w:ffData>
              </w:fldChar>
            </w:r>
            <w:r>
              <w:rPr>
                <w:lang w:val="en-CA"/>
              </w:rPr>
              <w:instrText xml:space="preserve"> FORMTEXT </w:instrText>
            </w:r>
            <w:r>
              <w:rPr>
                <w:lang w:val="en-CA"/>
              </w:rPr>
            </w:r>
            <w:r>
              <w:rPr>
                <w:lang w:val="en-CA"/>
              </w:rPr>
              <w:fldChar w:fldCharType="separate"/>
            </w:r>
            <w:r>
              <w:rPr>
                <w:lang w:val="en-CA"/>
              </w:rPr>
              <w:t>$10.00</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Price/Book Value</w:t>
              <w:tab/>
            </w:r>
          </w:p>
        </w:tc>
        <w:tc>
          <w:tcPr>
            <w:tcW w:w="720" w:type="dxa"/>
            <w:tcBorders/>
          </w:tcPr>
          <w:p>
            <w:pPr>
              <w:pStyle w:val="SSBDataRight"/>
              <w:spacing w:before="0" w:after="60"/>
              <w:rPr>
                <w:lang w:val="en-CA"/>
              </w:rPr>
            </w:pPr>
            <w:r>
              <w:fldChar w:fldCharType="begin">
                <w:ffData>
                  <w:name w:val="TRC_Y2PRICETOBOOK"/>
                  <w:enabled/>
                  <w:calcOnExit w:val="0"/>
                  <w:textInput/>
                </w:ffData>
              </w:fldChar>
            </w:r>
            <w:r>
              <w:rPr>
                <w:lang w:val="en-CA"/>
              </w:rPr>
              <w:instrText xml:space="preserve"> FORMTEXT </w:instrText>
            </w:r>
            <w:r>
              <w:rPr>
                <w:lang w:val="en-CA"/>
              </w:rPr>
            </w:r>
            <w:r>
              <w:rPr>
                <w:lang w:val="en-CA"/>
              </w:rPr>
              <w:fldChar w:fldCharType="separate"/>
            </w:r>
            <w:r>
              <w:rPr>
                <w:lang w:val="en-CA"/>
              </w:rPr>
              <w:t>1.0x</w:t>
            </w:r>
            <w:r/>
            <w:r>
              <w:rPr>
                <w:lang w:val="en-CA"/>
              </w:rPr>
              <w:fldChar w:fldCharType="end"/>
            </w:r>
            <w:r>
              <w:rPr>
                <w:lang w:val="en-CA"/>
              </w:rPr>
            </w:r>
          </w:p>
        </w:tc>
      </w:tr>
      <w:tr>
        <w:trPr/>
        <w:tc>
          <w:tcPr>
            <w:tcW w:w="1728" w:type="dxa"/>
            <w:tcBorders/>
          </w:tcPr>
          <w:p>
            <w:pPr>
              <w:pStyle w:val="SSBData"/>
              <w:spacing w:lineRule="exact" w:line="220" w:before="0" w:after="60"/>
              <w:rPr/>
            </w:pPr>
            <w:r>
              <w:rPr/>
              <w:t>Dividend/Yield  (</w:t>
            </w:r>
            <w:r>
              <w:fldChar w:fldCharType="begin">
                <w:ffData>
                  <w:name w:val="trc_FDYear2_a3"/>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1152" w:type="dxa"/>
            <w:gridSpan w:val="2"/>
            <w:tcBorders/>
          </w:tcPr>
          <w:p>
            <w:pPr>
              <w:pStyle w:val="SSBDataRight"/>
              <w:spacing w:before="0" w:after="60"/>
              <w:jc w:val="end"/>
              <w:rPr/>
            </w:pPr>
            <w:r>
              <w:fldChar w:fldCharType="begin">
                <w:ffData>
                  <w:name w:val="TRC_Y2DPS"/>
                  <w:enabled/>
                  <w:calcOnExit w:val="0"/>
                  <w:textInput/>
                </w:ffData>
              </w:fldChar>
            </w:r>
            <w:r>
              <w:rPr>
                <w:lang w:val="en-CA"/>
              </w:rPr>
              <w:instrText xml:space="preserve"> FORMTEXT </w:instrText>
            </w:r>
            <w:r>
              <w:rPr>
                <w:lang w:val="en-CA"/>
              </w:rPr>
            </w:r>
            <w:r>
              <w:rPr>
                <w:lang w:val="en-CA"/>
              </w:rPr>
              <w:fldChar w:fldCharType="separate"/>
            </w:r>
            <w:r>
              <w:rPr>
                <w:lang w:val="en-CA"/>
              </w:rPr>
              <w:t>$0.52</w:t>
            </w:r>
            <w:r>
              <w:rPr>
                <w:lang w:val="en-CA"/>
              </w:rPr>
            </w:r>
            <w:r>
              <w:rPr>
                <w:lang w:val="en-CA"/>
              </w:rPr>
              <w:fldChar w:fldCharType="end"/>
            </w:r>
            <w:r>
              <w:rPr/>
              <w:t>/</w:t>
            </w:r>
            <w:r>
              <w:fldChar w:fldCharType="begin">
                <w:ffData>
                  <w:name w:val="TRC_Y2DIVYIELD"/>
                  <w:enabled/>
                  <w:calcOnExit w:val="0"/>
                  <w:textInput/>
                </w:ffData>
              </w:fldChar>
            </w:r>
            <w:r>
              <w:rPr>
                <w:lang w:val="en-CA"/>
              </w:rPr>
              <w:instrText xml:space="preserve"> FORMTEXT </w:instrText>
            </w:r>
            <w:r>
              <w:rPr>
                <w:lang w:val="en-CA"/>
              </w:rPr>
            </w:r>
            <w:r>
              <w:rPr>
                <w:lang w:val="en-CA"/>
              </w:rPr>
              <w:fldChar w:fldCharType="separate"/>
            </w:r>
            <w:r>
              <w:rPr>
                <w:lang w:val="en-CA"/>
              </w:rPr>
              <w:t>5.2%</w:t>
            </w:r>
            <w:r/>
            <w:r>
              <w:rPr>
                <w:lang w:val="en-CA"/>
              </w:rPr>
              <w:fldChar w:fldCharType="end"/>
            </w:r>
            <w:r>
              <w:rPr>
                <w:lang w:val="en-CA"/>
              </w:rPr>
            </w:r>
          </w:p>
        </w:tc>
      </w:tr>
      <w:tr>
        <w:trPr/>
        <w:tc>
          <w:tcPr>
            <w:tcW w:w="1728" w:type="dxa"/>
            <w:tcBorders/>
          </w:tcPr>
          <w:p>
            <w:pPr>
              <w:pStyle w:val="SSBData"/>
              <w:spacing w:lineRule="exact" w:line="220" w:before="0" w:after="60"/>
              <w:rPr/>
            </w:pPr>
            <w:r>
              <w:rPr/>
              <w:t>Revenue (</w:t>
            </w:r>
            <w:r>
              <w:fldChar w:fldCharType="begin">
                <w:ffData>
                  <w:name w:val="trc_FDYear2_a4"/>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1152" w:type="dxa"/>
            <w:gridSpan w:val="2"/>
            <w:tcBorders/>
          </w:tcPr>
          <w:p>
            <w:pPr>
              <w:pStyle w:val="SSBDataRight"/>
              <w:spacing w:before="0" w:after="60"/>
              <w:jc w:val="end"/>
              <w:rPr/>
            </w:pPr>
            <w:r>
              <w:fldChar w:fldCharType="begin">
                <w:ffData>
                  <w:name w:val="trc_y2REVENUE"/>
                  <w:enabled/>
                  <w:calcOnExit w:val="0"/>
                  <w:textInput/>
                </w:ffData>
              </w:fldChar>
            </w:r>
            <w:r>
              <w:rPr>
                <w:lang w:val="en-CA"/>
              </w:rPr>
              <w:instrText xml:space="preserve"> FORMTEXT </w:instrText>
            </w:r>
            <w:r>
              <w:rPr>
                <w:lang w:val="en-CA"/>
              </w:rPr>
            </w:r>
            <w:r>
              <w:rPr>
                <w:lang w:val="en-CA"/>
              </w:rPr>
              <w:fldChar w:fldCharType="separate"/>
            </w:r>
            <w:r>
              <w:rPr>
                <w:lang w:val="en-CA"/>
              </w:rPr>
              <w:t>$100,789.0</w:t>
            </w:r>
            <w:r>
              <w:rPr>
                <w:lang w:val="en-CA"/>
              </w:rPr>
            </w:r>
            <w:r>
              <w:rPr>
                <w:lang w:val="en-CA"/>
              </w:rPr>
              <w:fldChar w:fldCharType="end"/>
            </w:r>
            <w:r>
              <w:rPr/>
              <w:t xml:space="preserve"> </w:t>
            </w:r>
            <w:r>
              <w:fldChar w:fldCharType="begin">
                <w:ffData>
                  <w:name w:val="trc_y2REVENUE_U"/>
                  <w:enabled/>
                  <w:calcOnExit w:val="0"/>
                  <w:textInput/>
                </w:ffData>
              </w:fldChar>
            </w:r>
            <w:r>
              <w:rPr>
                <w:lang w:val="en-CA"/>
              </w:rPr>
              <w:instrText xml:space="preserve"> FORMTEXT </w:instrText>
            </w:r>
            <w:r>
              <w:rPr>
                <w:lang w:val="en-CA"/>
              </w:rPr>
            </w:r>
            <w:r>
              <w:rPr>
                <w:lang w:val="en-CA"/>
              </w:rPr>
              <w:fldChar w:fldCharType="separate"/>
            </w:r>
            <w:r>
              <w:rPr>
                <w:lang w:val="en-CA"/>
              </w:rPr>
              <w:t>mil.</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Proj. Long-Term EPS Growth</w:t>
              <w:tab/>
            </w:r>
          </w:p>
        </w:tc>
        <w:tc>
          <w:tcPr>
            <w:tcW w:w="720" w:type="dxa"/>
            <w:tcBorders/>
          </w:tcPr>
          <w:p>
            <w:pPr>
              <w:pStyle w:val="SSBDataRight"/>
              <w:spacing w:before="0" w:after="60"/>
              <w:rPr>
                <w:lang w:val="en-CA"/>
              </w:rPr>
            </w:pPr>
            <w:r>
              <w:fldChar w:fldCharType="begin">
                <w:ffData>
                  <w:name w:val="TRC_EPSGR"/>
                  <w:enabled/>
                  <w:calcOnExit w:val="0"/>
                  <w:textInput/>
                </w:ffData>
              </w:fldChar>
            </w:r>
            <w:r>
              <w:rPr>
                <w:lang w:val="en-CA"/>
              </w:rPr>
              <w:instrText xml:space="preserve"> FORMTEXT </w:instrText>
            </w:r>
            <w:r>
              <w:rPr>
                <w:lang w:val="en-CA"/>
              </w:rPr>
            </w:r>
            <w:r>
              <w:rPr>
                <w:lang w:val="en-CA"/>
              </w:rPr>
              <w:fldChar w:fldCharType="separate"/>
            </w:r>
            <w:r>
              <w:rPr>
                <w:lang w:val="en-CA"/>
              </w:rPr>
              <w:t>23%</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ROE  (</w:t>
            </w:r>
            <w:r>
              <w:fldChar w:fldCharType="begin">
                <w:ffData>
                  <w:name w:val="trc_FDYear2_a5"/>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2ROE"/>
                  <w:enabled/>
                  <w:calcOnExit w:val="0"/>
                  <w:textInput/>
                </w:ffData>
              </w:fldChar>
            </w:r>
            <w:r>
              <w:rPr>
                <w:lang w:val="en-CA"/>
              </w:rPr>
              <w:instrText xml:space="preserve"> FORMTEXT </w:instrText>
            </w:r>
            <w:r>
              <w:rPr>
                <w:lang w:val="en-CA"/>
              </w:rPr>
            </w:r>
            <w:r>
              <w:rPr>
                <w:lang w:val="en-CA"/>
              </w:rPr>
              <w:fldChar w:fldCharType="separate"/>
            </w:r>
            <w:r>
              <w:rPr>
                <w:lang w:val="en-CA"/>
              </w:rPr>
              <w:t>11.5%</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Long-Term Debt to Capital(a)</w:t>
              <w:tab/>
            </w:r>
          </w:p>
        </w:tc>
        <w:tc>
          <w:tcPr>
            <w:tcW w:w="720" w:type="dxa"/>
            <w:tcBorders/>
          </w:tcPr>
          <w:p>
            <w:pPr>
              <w:pStyle w:val="SSBDataRight"/>
              <w:spacing w:before="0" w:after="60"/>
              <w:rPr>
                <w:lang w:val="en-CA"/>
              </w:rPr>
            </w:pPr>
            <w:r>
              <w:fldChar w:fldCharType="begin">
                <w:ffData>
                  <w:name w:val="TRC_Y2LTDCAP"/>
                  <w:enabled/>
                  <w:calcOnExit w:val="0"/>
                  <w:textInput/>
                </w:ffData>
              </w:fldChar>
            </w:r>
            <w:r>
              <w:rPr>
                <w:lang w:val="en-CA"/>
              </w:rPr>
              <w:instrText xml:space="preserve"> FORMTEXT </w:instrText>
            </w:r>
            <w:r>
              <w:rPr>
                <w:lang w:val="en-CA"/>
              </w:rPr>
            </w:r>
            <w:r>
              <w:rPr>
                <w:lang w:val="en-CA"/>
              </w:rPr>
              <w:fldChar w:fldCharType="separate"/>
            </w:r>
            <w:r>
              <w:rPr>
                <w:lang w:val="en-CA"/>
              </w:rPr>
              <w:t>51.6%</w:t>
            </w:r>
            <w:r/>
            <w:r>
              <w:rPr>
                <w:lang w:val="en-CA"/>
              </w:rPr>
              <w:fldChar w:fldCharType="end"/>
            </w:r>
            <w:r>
              <w:rPr>
                <w:lang w:val="en-CA"/>
              </w:rPr>
            </w:r>
          </w:p>
        </w:tc>
      </w:tr>
      <w:tr>
        <w:trPr>
          <w:trHeight w:val="460" w:hRule="atLeast"/>
        </w:trPr>
        <w:tc>
          <w:tcPr>
            <w:tcW w:w="2880" w:type="dxa"/>
            <w:gridSpan w:val="3"/>
            <w:tcBorders>
              <w:bottom w:val="single" w:sz="12" w:space="0" w:color="808080"/>
            </w:tcBorders>
          </w:tcPr>
          <w:p>
            <w:pPr>
              <w:pStyle w:val="SSBData"/>
              <w:spacing w:before="0" w:after="60"/>
              <w:rPr>
                <w:lang w:val="en-CA"/>
              </w:rPr>
            </w:pPr>
            <w:r>
              <w:fldChar w:fldCharType="begin">
                <w:ffData>
                  <w:name w:val="trc_indexgroup"/>
                  <w:enabled/>
                  <w:calcOnExit w:val="0"/>
                  <w:textInput/>
                </w:ffData>
              </w:fldChar>
            </w:r>
            <w:r>
              <w:rPr>
                <w:lang w:val="en-CA"/>
              </w:rPr>
              <w:instrText xml:space="preserve"> FORMTEXT </w:instrText>
            </w:r>
            <w:r>
              <w:rPr>
                <w:lang w:val="en-CA"/>
              </w:rPr>
            </w:r>
            <w:r>
              <w:rPr>
                <w:lang w:val="en-CA"/>
              </w:rPr>
              <w:fldChar w:fldCharType="separate"/>
            </w:r>
            <w:r>
              <w:rPr>
                <w:lang w:val="en-CA"/>
              </w:rPr>
              <w:t>ENE is in the S&amp;P 500® Index.</w:t>
            </w:r>
            <w:r/>
            <w:r>
              <w:rPr>
                <w:lang w:val="en-CA"/>
              </w:rPr>
              <w:fldChar w:fldCharType="end"/>
            </w:r>
            <w:r>
              <w:rPr>
                <w:lang w:val="en-CA"/>
              </w:rPr>
            </w:r>
          </w:p>
        </w:tc>
      </w:tr>
      <w:tr>
        <w:trPr/>
        <w:tc>
          <w:tcPr>
            <w:tcW w:w="2880" w:type="dxa"/>
            <w:gridSpan w:val="3"/>
            <w:tcBorders/>
          </w:tcPr>
          <w:p>
            <w:pPr>
              <w:pStyle w:val="SSBData"/>
              <w:spacing w:lineRule="exact" w:line="220" w:before="0" w:after="60"/>
              <w:rPr/>
            </w:pPr>
            <w:r>
              <w:rPr/>
              <w:t>(a) Data as of most recent quarter</w:t>
            </w:r>
          </w:p>
        </w:tc>
      </w:tr>
    </w:tbl>
    <w:p>
      <w:pPr>
        <w:pStyle w:val="SSBTableSpacerHidden"/>
        <w:rPr/>
      </w:pPr>
      <w:r>
        <w:rPr/>
      </w:r>
    </w:p>
    <w:p>
      <w:pPr>
        <w:pStyle w:val="SSBTableSpacer"/>
        <w:rPr/>
      </w:pPr>
      <w:r>
        <w:br w:type="column"/>
      </w:r>
      <w:r>
        <w:rPr/>
      </w:r>
    </w:p>
    <w:tbl>
      <w:tblPr>
        <w:tblW w:w="6682" w:type="dxa"/>
        <w:jc w:val="start"/>
        <w:tblInd w:w="0" w:type="dxa"/>
        <w:tblLayout w:type="fixed"/>
        <w:tblCellMar>
          <w:top w:w="0" w:type="dxa"/>
          <w:start w:w="0" w:type="dxa"/>
          <w:bottom w:w="0" w:type="dxa"/>
          <w:end w:w="0" w:type="dxa"/>
        </w:tblCellMar>
      </w:tblPr>
      <w:tblGrid>
        <w:gridCol w:w="1350"/>
        <w:gridCol w:w="930"/>
        <w:gridCol w:w="197"/>
        <w:gridCol w:w="720"/>
        <w:gridCol w:w="288"/>
        <w:gridCol w:w="2365"/>
        <w:gridCol w:w="832"/>
      </w:tblGrid>
      <w:tr>
        <w:trPr/>
        <w:tc>
          <w:tcPr>
            <w:tcW w:w="2477" w:type="dxa"/>
            <w:gridSpan w:val="3"/>
            <w:tcBorders/>
          </w:tcPr>
          <w:p>
            <w:pPr>
              <w:pStyle w:val="SSBHeading"/>
              <w:keepNext w:val="true"/>
              <w:keepLines/>
              <w:spacing w:lineRule="exact" w:line="230" w:before="0" w:after="60"/>
              <w:rPr/>
            </w:pPr>
            <w:r>
              <w:rPr/>
              <w:t>Share Data</w:t>
            </w:r>
          </w:p>
        </w:tc>
        <w:tc>
          <w:tcPr>
            <w:tcW w:w="720" w:type="dxa"/>
            <w:tcBorders/>
          </w:tcPr>
          <w:p>
            <w:pPr>
              <w:pStyle w:val="SSBData"/>
              <w:snapToGrid w:val="false"/>
              <w:spacing w:before="0" w:after="60"/>
              <w:rPr/>
            </w:pPr>
            <w:r>
              <w:rPr/>
            </w:r>
          </w:p>
        </w:tc>
        <w:tc>
          <w:tcPr>
            <w:tcW w:w="288" w:type="dxa"/>
            <w:tcBorders/>
          </w:tcPr>
          <w:p>
            <w:pPr>
              <w:pStyle w:val="SSBData"/>
              <w:spacing w:before="0" w:after="60"/>
              <w:rPr>
                <w:vanish/>
              </w:rPr>
            </w:pPr>
            <w:r>
              <w:rPr>
                <w:vanish/>
              </w:rPr>
              <w:t>.</w:t>
            </w:r>
          </w:p>
        </w:tc>
        <w:tc>
          <w:tcPr>
            <w:tcW w:w="2365" w:type="dxa"/>
            <w:tcBorders/>
          </w:tcPr>
          <w:p>
            <w:pPr>
              <w:pStyle w:val="SSBHeading"/>
              <w:keepNext w:val="true"/>
              <w:keepLines/>
              <w:spacing w:lineRule="exact" w:line="230" w:before="0" w:after="60"/>
              <w:rPr/>
            </w:pPr>
            <w:r>
              <w:rPr/>
              <w:t>Recommendation</w:t>
            </w:r>
          </w:p>
        </w:tc>
        <w:tc>
          <w:tcPr>
            <w:tcW w:w="832" w:type="dxa"/>
            <w:tcBorders/>
          </w:tcPr>
          <w:p>
            <w:pPr>
              <w:pStyle w:val="SSBData"/>
              <w:snapToGrid w:val="false"/>
              <w:spacing w:before="0" w:after="60"/>
              <w:rPr/>
            </w:pPr>
            <w:r>
              <w:rPr/>
            </w:r>
          </w:p>
        </w:tc>
      </w:tr>
      <w:tr>
        <w:trPr/>
        <w:tc>
          <w:tcPr>
            <w:tcW w:w="2280" w:type="dxa"/>
            <w:gridSpan w:val="2"/>
            <w:tcBorders/>
          </w:tcPr>
          <w:p>
            <w:pPr>
              <w:pStyle w:val="SSBData"/>
              <w:spacing w:lineRule="exact" w:line="220" w:before="0" w:after="60"/>
              <w:rPr/>
            </w:pPr>
            <w:r>
              <w:rPr/>
              <w:t>Price (</w:t>
            </w:r>
            <w:r>
              <w:fldChar w:fldCharType="begin">
                <w:ffData>
                  <w:name w:val="TRC_PRICEDATE"/>
                  <w:enabled/>
                  <w:calcOnExit w:val="0"/>
                  <w:textInput>
                    <w:type w:val="date"/>
                  </w:textInput>
                </w:ffData>
              </w:fldChar>
            </w:r>
            <w:r>
              <w:rPr>
                <w:lang w:val="en-CA"/>
              </w:rPr>
              <w:instrText xml:space="preserve"> FORMTEXT </w:instrText>
            </w:r>
            <w:r>
              <w:rPr>
                <w:lang w:val="en-CA"/>
              </w:rPr>
            </w:r>
            <w:r>
              <w:rPr>
                <w:lang w:val="en-CA"/>
              </w:rPr>
              <w:fldChar w:fldCharType="separate"/>
            </w:r>
            <w:r>
              <w:rPr>
                <w:lang w:val="en-CA"/>
              </w:rPr>
              <w:t>11/13/01</w:t>
            </w:r>
            <w:r>
              <w:rPr>
                <w:lang w:val="en-CA"/>
              </w:rPr>
            </w:r>
            <w:r>
              <w:rPr>
                <w:lang w:val="en-CA"/>
              </w:rPr>
              <w:fldChar w:fldCharType="end"/>
            </w:r>
            <w:r>
              <w:rPr/>
              <w:t>)</w:t>
              <w:tab/>
            </w:r>
          </w:p>
        </w:tc>
        <w:tc>
          <w:tcPr>
            <w:tcW w:w="917" w:type="dxa"/>
            <w:gridSpan w:val="2"/>
            <w:tcBorders/>
          </w:tcPr>
          <w:p>
            <w:pPr>
              <w:pStyle w:val="SSBDataRight"/>
              <w:spacing w:before="0" w:after="60"/>
              <w:rPr>
                <w:lang w:val="en-CA"/>
              </w:rPr>
            </w:pPr>
            <w:r>
              <w:fldChar w:fldCharType="begin">
                <w:ffData>
                  <w:name w:val="TRC_CURRENTPRICE"/>
                  <w:enabled/>
                  <w:calcOnExit w:val="0"/>
                  <w:textInput/>
                </w:ffData>
              </w:fldChar>
            </w:r>
            <w:r>
              <w:rPr>
                <w:lang w:val="en-CA"/>
              </w:rPr>
              <w:instrText xml:space="preserve"> FORMTEXT </w:instrText>
            </w:r>
            <w:r>
              <w:rPr>
                <w:lang w:val="en-CA"/>
              </w:rPr>
            </w:r>
            <w:r>
              <w:rPr>
                <w:lang w:val="en-CA"/>
              </w:rPr>
              <w:fldChar w:fldCharType="separate"/>
            </w:r>
            <w:r>
              <w:rPr>
                <w:lang w:val="en-CA"/>
              </w:rPr>
              <w:t>$9.98</w:t>
            </w:r>
            <w:r/>
            <w:r>
              <w:rPr>
                <w:lang w:val="en-CA"/>
              </w:rPr>
              <w:fldChar w:fldCharType="end"/>
            </w:r>
            <w:r>
              <w:rPr>
                <w:lang w:val="en-CA"/>
              </w:rPr>
            </w:r>
          </w:p>
        </w:tc>
        <w:tc>
          <w:tcPr>
            <w:tcW w:w="288" w:type="dxa"/>
            <w:tcBorders/>
          </w:tcPr>
          <w:p>
            <w:pPr>
              <w:pStyle w:val="SSBData"/>
              <w:snapToGrid w:val="false"/>
              <w:spacing w:before="0" w:after="60"/>
              <w:rPr/>
            </w:pPr>
            <w:r>
              <w:rPr/>
            </w:r>
          </w:p>
        </w:tc>
        <w:tc>
          <w:tcPr>
            <w:tcW w:w="2365" w:type="dxa"/>
            <w:tcBorders/>
          </w:tcPr>
          <w:p>
            <w:pPr>
              <w:pStyle w:val="SSBData"/>
              <w:spacing w:before="0" w:after="60"/>
              <w:rPr>
                <w:b/>
              </w:rPr>
            </w:pPr>
            <w:r>
              <w:rPr>
                <w:b/>
              </w:rPr>
              <w:t>Current Rating</w:t>
              <w:tab/>
            </w:r>
          </w:p>
        </w:tc>
        <w:tc>
          <w:tcPr>
            <w:tcW w:w="832" w:type="dxa"/>
            <w:tcBorders/>
          </w:tcPr>
          <w:p>
            <w:pPr>
              <w:pStyle w:val="SSBDataRight"/>
              <w:spacing w:before="0" w:after="60"/>
              <w:jc w:val="end"/>
              <w:rPr>
                <w:b/>
              </w:rPr>
            </w:pPr>
            <w:r>
              <w:fldChar w:fldCharType="begin">
                <w:ffData>
                  <w:name w:val="TRC_RATING_A1"/>
                  <w:enabled/>
                  <w:calcOnExit w:val="0"/>
                  <w:textInput/>
                </w:ffData>
              </w:fldChar>
            </w:r>
            <w:r>
              <w:rPr>
                <w:b/>
                <w:lang w:val="en-CA"/>
              </w:rPr>
              <w:instrText xml:space="preserve"> FORMTEXT </w:instrText>
            </w:r>
            <w:r>
              <w:rPr>
                <w:b/>
                <w:lang w:val="en-CA"/>
              </w:rPr>
            </w:r>
            <w:r>
              <w:rPr>
                <w:b/>
                <w:lang w:val="en-CA"/>
              </w:rPr>
              <w:fldChar w:fldCharType="separate"/>
            </w:r>
            <w:r>
              <w:rPr>
                <w:b/>
                <w:lang w:val="en-CA"/>
              </w:rPr>
              <w:t>3</w:t>
            </w:r>
            <w:r>
              <w:rPr>
                <w:b/>
                <w:lang w:val="en-CA"/>
              </w:rPr>
            </w:r>
            <w:r>
              <w:rPr>
                <w:b/>
                <w:lang w:val="en-CA"/>
              </w:rPr>
              <w:fldChar w:fldCharType="end"/>
            </w:r>
            <w:r>
              <w:fldChar w:fldCharType="begin">
                <w:ffData>
                  <w:name w:val="TRC_RISK_A1"/>
                  <w:enabled/>
                  <w:calcOnExit w:val="0"/>
                  <w:textInput/>
                </w:ffData>
              </w:fldChar>
            </w:r>
            <w:r>
              <w:rPr>
                <w:b/>
                <w:lang w:val="en-CA"/>
              </w:rPr>
              <w:instrText xml:space="preserve"> FORMTEXT </w:instrText>
            </w:r>
            <w:r>
              <w:rPr>
                <w:b/>
                <w:lang w:val="en-CA"/>
              </w:rPr>
            </w:r>
            <w:r>
              <w:rPr>
                <w:b/>
                <w:lang w:val="en-CA"/>
              </w:rPr>
              <w:fldChar w:fldCharType="separate"/>
            </w:r>
            <w:r>
              <w:rPr>
                <w:b/>
                <w:lang w:val="en-CA"/>
              </w:rPr>
              <w:t>S</w:t>
            </w:r>
            <w:r/>
            <w:r>
              <w:rPr>
                <w:b/>
                <w:lang w:val="en-CA"/>
              </w:rPr>
              <w:fldChar w:fldCharType="end"/>
            </w:r>
            <w:r>
              <w:rPr>
                <w:b/>
                <w:lang w:val="en-CA"/>
              </w:rPr>
            </w:r>
          </w:p>
        </w:tc>
      </w:tr>
      <w:tr>
        <w:trPr/>
        <w:tc>
          <w:tcPr>
            <w:tcW w:w="1350" w:type="dxa"/>
            <w:tcBorders/>
          </w:tcPr>
          <w:p>
            <w:pPr>
              <w:pStyle w:val="SSBData"/>
              <w:spacing w:lineRule="exact" w:line="220" w:before="0" w:after="60"/>
              <w:rPr/>
            </w:pPr>
            <w:r>
              <w:rPr/>
              <w:t>52-Week Range</w:t>
              <w:tab/>
            </w:r>
          </w:p>
        </w:tc>
        <w:tc>
          <w:tcPr>
            <w:tcW w:w="1847" w:type="dxa"/>
            <w:gridSpan w:val="3"/>
            <w:tcBorders/>
          </w:tcPr>
          <w:p>
            <w:pPr>
              <w:pStyle w:val="SSBDataRight"/>
              <w:spacing w:before="0" w:after="60"/>
              <w:jc w:val="end"/>
              <w:rPr/>
            </w:pPr>
            <w:r>
              <w:fldChar w:fldCharType="begin">
                <w:ffData>
                  <w:name w:val="TRC_WKRNG52HI"/>
                  <w:enabled/>
                  <w:calcOnExit w:val="0"/>
                  <w:textInput/>
                </w:ffData>
              </w:fldChar>
            </w:r>
            <w:r>
              <w:rPr>
                <w:lang w:val="en-CA"/>
              </w:rPr>
              <w:instrText xml:space="preserve"> FORMTEXT </w:instrText>
            </w:r>
            <w:r>
              <w:rPr>
                <w:lang w:val="en-CA"/>
              </w:rPr>
            </w:r>
            <w:r>
              <w:rPr>
                <w:lang w:val="en-CA"/>
              </w:rPr>
              <w:fldChar w:fldCharType="separate"/>
            </w:r>
            <w:r>
              <w:rPr>
                <w:lang w:val="en-CA"/>
              </w:rPr>
              <w:t>$84.63</w:t>
            </w:r>
            <w:r>
              <w:rPr>
                <w:lang w:val="en-CA"/>
              </w:rPr>
            </w:r>
            <w:r>
              <w:rPr>
                <w:lang w:val="en-CA"/>
              </w:rPr>
              <w:fldChar w:fldCharType="end"/>
            </w:r>
            <w:r>
              <w:rPr/>
              <w:t>-</w:t>
            </w:r>
            <w:r>
              <w:fldChar w:fldCharType="begin">
                <w:ffData>
                  <w:name w:val="TRC_WKRNG52LOW"/>
                  <w:enabled/>
                  <w:calcOnExit w:val="0"/>
                  <w:textInput/>
                </w:ffData>
              </w:fldChar>
            </w:r>
            <w:r>
              <w:rPr>
                <w:lang w:val="en-CA"/>
              </w:rPr>
              <w:instrText xml:space="preserve"> FORMTEXT </w:instrText>
            </w:r>
            <w:r>
              <w:rPr>
                <w:lang w:val="en-CA"/>
              </w:rPr>
            </w:r>
            <w:r>
              <w:rPr>
                <w:lang w:val="en-CA"/>
              </w:rPr>
              <w:fldChar w:fldCharType="separate"/>
            </w:r>
            <w:r>
              <w:rPr>
                <w:lang w:val="en-CA"/>
              </w:rPr>
              <w:t>$8.41</w:t>
            </w:r>
            <w:r/>
            <w:r>
              <w:rPr>
                <w:lang w:val="en-CA"/>
              </w:rPr>
              <w:fldChar w:fldCharType="end"/>
            </w:r>
            <w:r>
              <w:rPr>
                <w:lang w:val="en-CA"/>
              </w:rPr>
            </w:r>
          </w:p>
        </w:tc>
        <w:tc>
          <w:tcPr>
            <w:tcW w:w="288" w:type="dxa"/>
            <w:tcBorders/>
          </w:tcPr>
          <w:p>
            <w:pPr>
              <w:pStyle w:val="SSBData"/>
              <w:snapToGrid w:val="false"/>
              <w:spacing w:before="0" w:after="60"/>
              <w:rPr/>
            </w:pPr>
            <w:r>
              <w:rPr/>
            </w:r>
          </w:p>
        </w:tc>
        <w:tc>
          <w:tcPr>
            <w:tcW w:w="2365" w:type="dxa"/>
            <w:tcBorders/>
          </w:tcPr>
          <w:p>
            <w:pPr>
              <w:pStyle w:val="SSBData"/>
              <w:spacing w:lineRule="exact" w:line="220" w:before="0" w:after="60"/>
              <w:rPr/>
            </w:pPr>
            <w:r>
              <w:rPr/>
              <w:t>Prior Rating</w:t>
              <w:tab/>
            </w:r>
          </w:p>
        </w:tc>
        <w:tc>
          <w:tcPr>
            <w:tcW w:w="832" w:type="dxa"/>
            <w:tcBorders/>
          </w:tcPr>
          <w:p>
            <w:pPr>
              <w:pStyle w:val="SSBDataRight"/>
              <w:spacing w:before="0" w:after="60"/>
              <w:jc w:val="end"/>
              <w:rPr/>
            </w:pPr>
            <w:r>
              <w:fldChar w:fldCharType="begin">
                <w:ffData>
                  <w:name w:val="TRC_RATING_P"/>
                  <w:enabled/>
                  <w:calcOnExit w:val="0"/>
                  <w:textInput/>
                </w:ffData>
              </w:fldChar>
            </w:r>
            <w:r>
              <w:rPr>
                <w:lang w:val="en-CA"/>
              </w:rPr>
              <w:instrText xml:space="preserve"> FORMTEXT </w:instrText>
            </w:r>
            <w:r>
              <w:rPr>
                <w:lang w:val="en-CA"/>
              </w:rPr>
            </w:r>
            <w:r>
              <w:rPr>
                <w:lang w:val="en-CA"/>
              </w:rPr>
              <w:fldChar w:fldCharType="separate"/>
            </w:r>
            <w:r>
              <w:rPr>
                <w:lang w:val="en-CA"/>
              </w:rPr>
              <w:t>3</w:t>
            </w:r>
            <w:r>
              <w:rPr>
                <w:lang w:val="en-CA"/>
              </w:rPr>
            </w:r>
            <w:r>
              <w:rPr>
                <w:lang w:val="en-CA"/>
              </w:rPr>
              <w:fldChar w:fldCharType="end"/>
            </w:r>
            <w:r>
              <w:fldChar w:fldCharType="begin">
                <w:ffData>
                  <w:name w:val="TRC_RISK_P"/>
                  <w:enabled/>
                  <w:calcOnExit w:val="0"/>
                  <w:textInput/>
                </w:ffData>
              </w:fldChar>
            </w:r>
            <w:r>
              <w:rPr>
                <w:lang w:val="en-CA"/>
              </w:rPr>
              <w:instrText xml:space="preserve"> FORMTEXT </w:instrText>
            </w:r>
            <w:r>
              <w:rPr>
                <w:lang w:val="en-CA"/>
              </w:rPr>
            </w:r>
            <w:r>
              <w:rPr>
                <w:lang w:val="en-CA"/>
              </w:rPr>
              <w:fldChar w:fldCharType="separate"/>
            </w:r>
            <w:r>
              <w:rPr>
                <w:lang w:val="en-CA"/>
              </w:rPr>
              <w:t>S</w:t>
            </w:r>
            <w:r/>
            <w:r>
              <w:rPr>
                <w:lang w:val="en-CA"/>
              </w:rPr>
              <w:fldChar w:fldCharType="end"/>
            </w:r>
            <w:r>
              <w:rPr>
                <w:lang w:val="en-CA"/>
              </w:rPr>
            </w:r>
          </w:p>
        </w:tc>
      </w:tr>
      <w:tr>
        <w:trPr/>
        <w:tc>
          <w:tcPr>
            <w:tcW w:w="2280" w:type="dxa"/>
            <w:gridSpan w:val="2"/>
            <w:tcBorders/>
          </w:tcPr>
          <w:p>
            <w:pPr>
              <w:pStyle w:val="SSBData"/>
              <w:spacing w:lineRule="exact" w:line="220" w:before="0" w:after="60"/>
              <w:rPr/>
            </w:pPr>
            <w:r>
              <w:rPr/>
              <w:t>Shares Outstanding(a)</w:t>
              <w:tab/>
            </w:r>
          </w:p>
        </w:tc>
        <w:tc>
          <w:tcPr>
            <w:tcW w:w="917" w:type="dxa"/>
            <w:gridSpan w:val="2"/>
            <w:tcBorders/>
          </w:tcPr>
          <w:p>
            <w:pPr>
              <w:pStyle w:val="SSBDataRight"/>
              <w:spacing w:before="0" w:after="60"/>
              <w:jc w:val="end"/>
              <w:rPr/>
            </w:pPr>
            <w:r>
              <w:fldChar w:fldCharType="begin">
                <w:ffData>
                  <w:name w:val="TRC_SHARESOUT"/>
                  <w:enabled/>
                  <w:calcOnExit w:val="0"/>
                  <w:textInput/>
                </w:ffData>
              </w:fldChar>
            </w:r>
            <w:r>
              <w:rPr>
                <w:lang w:val="en-CA"/>
              </w:rPr>
              <w:instrText xml:space="preserve"> FORMTEXT </w:instrText>
            </w:r>
            <w:r>
              <w:rPr>
                <w:lang w:val="en-CA"/>
              </w:rPr>
            </w:r>
            <w:r>
              <w:rPr>
                <w:lang w:val="en-CA"/>
              </w:rPr>
              <w:fldChar w:fldCharType="separate"/>
            </w:r>
            <w:r>
              <w:rPr>
                <w:lang w:val="en-CA"/>
              </w:rPr>
              <w:t>801.0</w:t>
            </w:r>
            <w:r>
              <w:rPr>
                <w:lang w:val="en-CA"/>
              </w:rPr>
            </w:r>
            <w:r>
              <w:rPr>
                <w:lang w:val="en-CA"/>
              </w:rPr>
              <w:fldChar w:fldCharType="end"/>
            </w:r>
            <w:r>
              <w:rPr/>
              <w:t xml:space="preserve"> </w:t>
            </w:r>
            <w:r>
              <w:fldChar w:fldCharType="begin">
                <w:ffData>
                  <w:name w:val="TRC_SHARESOUT_U"/>
                  <w:enabled/>
                  <w:calcOnExit w:val="0"/>
                  <w:textInput/>
                </w:ffData>
              </w:fldChar>
            </w:r>
            <w:r>
              <w:rPr>
                <w:lang w:val="en-CA"/>
              </w:rPr>
              <w:instrText xml:space="preserve"> FORMTEXT </w:instrText>
            </w:r>
            <w:r>
              <w:rPr>
                <w:lang w:val="en-CA"/>
              </w:rPr>
            </w:r>
            <w:r>
              <w:rPr>
                <w:lang w:val="en-CA"/>
              </w:rPr>
              <w:fldChar w:fldCharType="separate"/>
            </w:r>
            <w:r>
              <w:rPr>
                <w:lang w:val="en-CA"/>
              </w:rPr>
              <w:t>mil.</w:t>
            </w:r>
            <w:r/>
            <w:r>
              <w:rPr>
                <w:lang w:val="en-CA"/>
              </w:rPr>
              <w:fldChar w:fldCharType="end"/>
            </w:r>
            <w:r>
              <w:rPr>
                <w:lang w:val="en-CA"/>
              </w:rPr>
            </w:r>
          </w:p>
        </w:tc>
        <w:tc>
          <w:tcPr>
            <w:tcW w:w="288" w:type="dxa"/>
            <w:tcBorders/>
          </w:tcPr>
          <w:p>
            <w:pPr>
              <w:pStyle w:val="SSBData"/>
              <w:snapToGrid w:val="false"/>
              <w:spacing w:before="0" w:after="60"/>
              <w:rPr/>
            </w:pPr>
            <w:r>
              <w:rPr/>
            </w:r>
          </w:p>
        </w:tc>
        <w:tc>
          <w:tcPr>
            <w:tcW w:w="2365" w:type="dxa"/>
            <w:tcBorders/>
          </w:tcPr>
          <w:p>
            <w:pPr>
              <w:pStyle w:val="SSBData"/>
              <w:spacing w:before="0" w:after="60"/>
              <w:rPr>
                <w:b/>
              </w:rPr>
            </w:pPr>
            <w:r>
              <w:rPr>
                <w:b/>
              </w:rPr>
              <w:t>Current Target Price</w:t>
              <w:tab/>
            </w:r>
          </w:p>
        </w:tc>
        <w:tc>
          <w:tcPr>
            <w:tcW w:w="832" w:type="dxa"/>
            <w:tcBorders/>
          </w:tcPr>
          <w:p>
            <w:pPr>
              <w:pStyle w:val="SSBDataRight"/>
              <w:spacing w:before="0" w:after="60"/>
              <w:rPr>
                <w:b/>
              </w:rPr>
            </w:pPr>
            <w:r>
              <w:fldChar w:fldCharType="begin">
                <w:ffData>
                  <w:name w:val="TRC_TARGET"/>
                  <w:enabled/>
                  <w:calcOnExit w:val="0"/>
                  <w:textInput/>
                </w:ffData>
              </w:fldChar>
            </w:r>
            <w:r>
              <w:rPr>
                <w:b/>
                <w:lang w:val="en-CA"/>
              </w:rPr>
              <w:instrText xml:space="preserve"> FORMTEXT </w:instrText>
            </w:r>
            <w:r>
              <w:rPr>
                <w:b/>
                <w:lang w:val="en-CA"/>
              </w:rPr>
            </w:r>
            <w:r>
              <w:rPr>
                <w:b/>
                <w:lang w:val="en-CA"/>
              </w:rPr>
              <w:fldChar w:fldCharType="separate"/>
            </w:r>
            <w:r>
              <w:rPr>
                <w:b/>
                <w:lang w:val="en-CA"/>
              </w:rPr>
              <w:t>$14.00</w:t>
            </w:r>
            <w:r/>
            <w:r>
              <w:rPr>
                <w:b/>
                <w:lang w:val="en-CA"/>
              </w:rPr>
              <w:fldChar w:fldCharType="end"/>
            </w:r>
            <w:r>
              <w:rPr>
                <w:b/>
                <w:lang w:val="en-CA"/>
              </w:rPr>
            </w:r>
          </w:p>
        </w:tc>
      </w:tr>
      <w:tr>
        <w:trPr/>
        <w:tc>
          <w:tcPr>
            <w:tcW w:w="2477" w:type="dxa"/>
            <w:gridSpan w:val="3"/>
            <w:tcBorders/>
          </w:tcPr>
          <w:p>
            <w:pPr>
              <w:pStyle w:val="SSBData"/>
              <w:spacing w:lineRule="exact" w:line="220" w:before="0" w:after="60"/>
              <w:rPr/>
            </w:pPr>
            <w:r>
              <w:rPr/>
              <w:t>Convertible</w:t>
              <w:tab/>
            </w:r>
          </w:p>
        </w:tc>
        <w:tc>
          <w:tcPr>
            <w:tcW w:w="720" w:type="dxa"/>
            <w:tcBorders/>
          </w:tcPr>
          <w:p>
            <w:pPr>
              <w:pStyle w:val="SSBDataRight"/>
              <w:spacing w:before="0" w:after="60"/>
              <w:rPr>
                <w:lang w:val="en-CA"/>
              </w:rPr>
            </w:pPr>
            <w:r>
              <w:fldChar w:fldCharType="begin">
                <w:ffData>
                  <w:name w:val="TRC_CONVERTIBLE"/>
                  <w:enabled/>
                  <w:calcOnExit w:val="0"/>
                  <w:textInput/>
                </w:ffData>
              </w:fldChar>
            </w:r>
            <w:r>
              <w:rPr>
                <w:lang w:val="en-CA"/>
              </w:rPr>
              <w:instrText xml:space="preserve"> FORMTEXT </w:instrText>
            </w:r>
            <w:r>
              <w:rPr>
                <w:lang w:val="en-CA"/>
              </w:rPr>
            </w:r>
            <w:r>
              <w:rPr>
                <w:lang w:val="en-CA"/>
              </w:rPr>
              <w:fldChar w:fldCharType="separate"/>
            </w:r>
            <w:r>
              <w:rPr>
                <w:lang w:val="en-CA"/>
              </w:rPr>
              <w:t>No</w:t>
            </w:r>
            <w:r/>
            <w:r>
              <w:rPr>
                <w:lang w:val="en-CA"/>
              </w:rPr>
              <w:fldChar w:fldCharType="end"/>
            </w:r>
            <w:r>
              <w:rPr>
                <w:lang w:val="en-CA"/>
              </w:rPr>
            </w:r>
          </w:p>
        </w:tc>
        <w:tc>
          <w:tcPr>
            <w:tcW w:w="288" w:type="dxa"/>
            <w:tcBorders/>
          </w:tcPr>
          <w:p>
            <w:pPr>
              <w:pStyle w:val="SSBData"/>
              <w:snapToGrid w:val="false"/>
              <w:spacing w:before="0" w:after="60"/>
              <w:rPr/>
            </w:pPr>
            <w:r>
              <w:rPr/>
            </w:r>
          </w:p>
        </w:tc>
        <w:tc>
          <w:tcPr>
            <w:tcW w:w="2365" w:type="dxa"/>
            <w:tcBorders/>
          </w:tcPr>
          <w:p>
            <w:pPr>
              <w:pStyle w:val="SSBData"/>
              <w:spacing w:lineRule="exact" w:line="220" w:before="0" w:after="60"/>
              <w:rPr/>
            </w:pPr>
            <w:r>
              <w:rPr/>
              <w:t>Previous Target Price</w:t>
              <w:tab/>
            </w:r>
          </w:p>
        </w:tc>
        <w:tc>
          <w:tcPr>
            <w:tcW w:w="832" w:type="dxa"/>
            <w:tcBorders/>
          </w:tcPr>
          <w:p>
            <w:pPr>
              <w:pStyle w:val="SSBDataRight"/>
              <w:spacing w:before="0" w:after="60"/>
              <w:rPr>
                <w:lang w:val="en-CA"/>
              </w:rPr>
            </w:pPr>
            <w:r>
              <w:fldChar w:fldCharType="begin">
                <w:ffData>
                  <w:name w:val="TRC_TARGET_P"/>
                  <w:enabled/>
                  <w:calcOnExit w:val="0"/>
                  <w:textInput/>
                </w:ffData>
              </w:fldChar>
            </w:r>
            <w:r>
              <w:rPr>
                <w:lang w:val="en-CA"/>
              </w:rPr>
              <w:instrText xml:space="preserve"> FORMTEXT </w:instrText>
            </w:r>
            <w:r>
              <w:rPr>
                <w:lang w:val="en-CA"/>
              </w:rPr>
            </w:r>
            <w:r>
              <w:rPr>
                <w:lang w:val="en-CA"/>
              </w:rPr>
              <w:fldChar w:fldCharType="separate"/>
            </w:r>
            <w:r>
              <w:rPr>
                <w:lang w:val="en-CA"/>
              </w:rPr>
              <w:t>$14.00</w:t>
            </w:r>
            <w:r/>
            <w:r>
              <w:rPr>
                <w:lang w:val="en-CA"/>
              </w:rPr>
              <w:fldChar w:fldCharType="end"/>
            </w:r>
            <w:r>
              <w:rPr>
                <w:lang w:val="en-CA"/>
              </w:rPr>
            </w:r>
          </w:p>
        </w:tc>
      </w:tr>
    </w:tbl>
    <w:p>
      <w:pPr>
        <w:pStyle w:val="SSBTableSpacer"/>
        <w:rPr/>
      </w:pPr>
      <w:r>
        <w:rPr/>
      </w:r>
    </w:p>
    <w:tbl>
      <w:tblPr>
        <w:tblW w:w="6682" w:type="dxa"/>
        <w:jc w:val="start"/>
        <w:tblInd w:w="0" w:type="dxa"/>
        <w:tblLayout w:type="fixed"/>
        <w:tblCellMar>
          <w:top w:w="0" w:type="dxa"/>
          <w:start w:w="0" w:type="dxa"/>
          <w:bottom w:w="0" w:type="dxa"/>
          <w:end w:w="0" w:type="dxa"/>
        </w:tblCellMar>
      </w:tblPr>
      <w:tblGrid>
        <w:gridCol w:w="864"/>
        <w:gridCol w:w="778"/>
        <w:gridCol w:w="1008"/>
        <w:gridCol w:w="1008"/>
        <w:gridCol w:w="1008"/>
        <w:gridCol w:w="1008"/>
        <w:gridCol w:w="1008"/>
      </w:tblGrid>
      <w:tr>
        <w:trPr>
          <w:trHeight w:val="300" w:hRule="exact"/>
        </w:trPr>
        <w:tc>
          <w:tcPr>
            <w:tcW w:w="6682" w:type="dxa"/>
            <w:gridSpan w:val="7"/>
            <w:tcBorders>
              <w:top w:val="single" w:sz="12" w:space="0" w:color="808080"/>
            </w:tcBorders>
            <w:vAlign w:val="center"/>
          </w:tcPr>
          <w:p>
            <w:pPr>
              <w:pStyle w:val="SSBHeading"/>
              <w:keepNext w:val="true"/>
              <w:keepLines/>
              <w:spacing w:lineRule="exact" w:line="230" w:before="0" w:after="60"/>
              <w:rPr/>
            </w:pPr>
            <w:r>
              <w:rPr/>
              <w:t>Earnings Per Share</w:t>
            </w:r>
          </w:p>
        </w:tc>
      </w:tr>
      <w:tr>
        <w:trPr>
          <w:trHeight w:val="260" w:hRule="exact"/>
        </w:trPr>
        <w:tc>
          <w:tcPr>
            <w:tcW w:w="864" w:type="dxa"/>
            <w:tcBorders>
              <w:top w:val="single" w:sz="8" w:space="0" w:color="808080"/>
            </w:tcBorders>
            <w:vAlign w:val="center"/>
          </w:tcPr>
          <w:p>
            <w:pPr>
              <w:pStyle w:val="SSBDataQ"/>
              <w:rPr>
                <w:b/>
              </w:rPr>
            </w:pPr>
            <w:r>
              <w:rPr>
                <w:b/>
              </w:rPr>
              <w:t>FY ends</w:t>
            </w:r>
          </w:p>
        </w:tc>
        <w:tc>
          <w:tcPr>
            <w:tcW w:w="778" w:type="dxa"/>
            <w:tcBorders>
              <w:top w:val="single" w:sz="8" w:space="0" w:color="808080"/>
            </w:tcBorders>
            <w:vAlign w:val="center"/>
          </w:tcPr>
          <w:p>
            <w:pPr>
              <w:pStyle w:val="SSBDataQCentered"/>
              <w:snapToGrid w:val="false"/>
              <w:rPr>
                <w:b/>
              </w:rPr>
            </w:pPr>
            <w:r>
              <w:rPr>
                <w:b/>
              </w:rPr>
            </w:r>
          </w:p>
        </w:tc>
        <w:tc>
          <w:tcPr>
            <w:tcW w:w="1008" w:type="dxa"/>
            <w:tcBorders>
              <w:top w:val="single" w:sz="8" w:space="0" w:color="808080"/>
            </w:tcBorders>
            <w:vAlign w:val="center"/>
          </w:tcPr>
          <w:p>
            <w:pPr>
              <w:pStyle w:val="SSBDataQCentered"/>
              <w:rPr>
                <w:b/>
              </w:rPr>
            </w:pPr>
            <w:r>
              <w:rPr>
                <w:b/>
              </w:rPr>
              <w:t>1Q</w:t>
            </w:r>
          </w:p>
        </w:tc>
        <w:tc>
          <w:tcPr>
            <w:tcW w:w="1008" w:type="dxa"/>
            <w:tcBorders>
              <w:top w:val="single" w:sz="8" w:space="0" w:color="808080"/>
            </w:tcBorders>
            <w:vAlign w:val="center"/>
          </w:tcPr>
          <w:p>
            <w:pPr>
              <w:pStyle w:val="SSBDataQCentered"/>
              <w:rPr>
                <w:b/>
              </w:rPr>
            </w:pPr>
            <w:r>
              <w:rPr>
                <w:b/>
              </w:rPr>
              <w:t>2Q</w:t>
            </w:r>
          </w:p>
        </w:tc>
        <w:tc>
          <w:tcPr>
            <w:tcW w:w="1008" w:type="dxa"/>
            <w:tcBorders>
              <w:top w:val="single" w:sz="8" w:space="0" w:color="808080"/>
            </w:tcBorders>
            <w:vAlign w:val="center"/>
          </w:tcPr>
          <w:p>
            <w:pPr>
              <w:pStyle w:val="SSBDataQCentered"/>
              <w:rPr>
                <w:b/>
              </w:rPr>
            </w:pPr>
            <w:r>
              <w:rPr>
                <w:b/>
              </w:rPr>
              <w:t>3Q</w:t>
            </w:r>
          </w:p>
        </w:tc>
        <w:tc>
          <w:tcPr>
            <w:tcW w:w="1008" w:type="dxa"/>
            <w:tcBorders>
              <w:top w:val="single" w:sz="8" w:space="0" w:color="808080"/>
            </w:tcBorders>
            <w:vAlign w:val="center"/>
          </w:tcPr>
          <w:p>
            <w:pPr>
              <w:pStyle w:val="SSBDataQCentered"/>
              <w:rPr>
                <w:b/>
              </w:rPr>
            </w:pPr>
            <w:r>
              <w:rPr>
                <w:b/>
              </w:rPr>
              <w:t>4Q</w:t>
            </w:r>
          </w:p>
        </w:tc>
        <w:tc>
          <w:tcPr>
            <w:tcW w:w="1008" w:type="dxa"/>
            <w:tcBorders>
              <w:top w:val="single" w:sz="8" w:space="0" w:color="808080"/>
            </w:tcBorders>
            <w:vAlign w:val="center"/>
          </w:tcPr>
          <w:p>
            <w:pPr>
              <w:pStyle w:val="SSBDataQCentered"/>
              <w:rPr>
                <w:b/>
              </w:rPr>
            </w:pPr>
            <w:r>
              <w:rPr>
                <w:b/>
              </w:rPr>
              <w:t>Full Year</w:t>
            </w:r>
          </w:p>
        </w:tc>
      </w:tr>
      <w:tr>
        <w:trPr>
          <w:trHeight w:val="260" w:hRule="exact"/>
        </w:trPr>
        <w:tc>
          <w:tcPr>
            <w:tcW w:w="864" w:type="dxa"/>
            <w:tcBorders>
              <w:top w:val="single" w:sz="8" w:space="0" w:color="808080"/>
              <w:bottom w:val="single" w:sz="8" w:space="0" w:color="808080"/>
            </w:tcBorders>
          </w:tcPr>
          <w:p>
            <w:pPr>
              <w:pStyle w:val="SSBDataQ"/>
              <w:rPr>
                <w:b/>
              </w:rPr>
            </w:pPr>
            <w:r>
              <w:fldChar w:fldCharType="begin">
                <w:ffData>
                  <w:name w:val="TRC_QDYear1"/>
                  <w:enabled/>
                  <w:calcOnExit w:val="0"/>
                  <w:textInput/>
                </w:ffData>
              </w:fldChar>
            </w:r>
            <w:r>
              <w:rPr>
                <w:b/>
                <w:lang w:val="en-CA"/>
              </w:rPr>
              <w:instrText xml:space="preserve"> FORMTEXT </w:instrText>
            </w:r>
            <w:r>
              <w:rPr>
                <w:b/>
                <w:lang w:val="en-CA"/>
              </w:rPr>
            </w:r>
            <w:r>
              <w:rPr>
                <w:b/>
                <w:lang w:val="en-CA"/>
              </w:rPr>
              <w:fldChar w:fldCharType="separate"/>
            </w:r>
            <w:r>
              <w:rPr>
                <w:b/>
                <w:lang w:val="en-CA"/>
              </w:rPr>
              <w:t>12/00A</w:t>
            </w:r>
            <w:r/>
            <w:r>
              <w:rPr>
                <w:b/>
                <w:lang w:val="en-CA"/>
              </w:rPr>
              <w:fldChar w:fldCharType="end"/>
            </w:r>
            <w:r>
              <w:rPr>
                <w:b/>
                <w:lang w:val="en-CA"/>
              </w:rPr>
            </w:r>
          </w:p>
        </w:tc>
        <w:tc>
          <w:tcPr>
            <w:tcW w:w="778" w:type="dxa"/>
            <w:tcBorders>
              <w:top w:val="single" w:sz="8" w:space="0" w:color="808080"/>
              <w:bottom w:val="single" w:sz="8" w:space="0" w:color="808080"/>
            </w:tcBorders>
          </w:tcPr>
          <w:p>
            <w:pPr>
              <w:pStyle w:val="SSBDataQ"/>
              <w:rPr>
                <w:b/>
              </w:rPr>
            </w:pPr>
            <w:r>
              <w:rPr>
                <w:b/>
              </w:rPr>
              <w:t>Actual</w:t>
            </w:r>
          </w:p>
        </w:tc>
        <w:tc>
          <w:tcPr>
            <w:tcW w:w="1008" w:type="dxa"/>
            <w:tcBorders>
              <w:top w:val="single" w:sz="8" w:space="0" w:color="808080"/>
              <w:bottom w:val="single" w:sz="8" w:space="0" w:color="808080"/>
            </w:tcBorders>
          </w:tcPr>
          <w:p>
            <w:pPr>
              <w:pStyle w:val="SSBDataQDecimal"/>
              <w:rPr>
                <w:b/>
              </w:rPr>
            </w:pPr>
            <w:r>
              <w:fldChar w:fldCharType="begin">
                <w:ffData>
                  <w:name w:val="TRC_Y1Q1"/>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1Q1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op w:val="single" w:sz="8" w:space="0" w:color="808080"/>
              <w:bottom w:val="single" w:sz="8" w:space="0" w:color="808080"/>
            </w:tcBorders>
          </w:tcPr>
          <w:p>
            <w:pPr>
              <w:pStyle w:val="SSBDataQDecimal"/>
              <w:rPr>
                <w:b/>
              </w:rPr>
            </w:pPr>
            <w:r>
              <w:fldChar w:fldCharType="begin">
                <w:ffData>
                  <w:name w:val="TRC_Y1Q2"/>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1Q2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op w:val="single" w:sz="8" w:space="0" w:color="808080"/>
              <w:bottom w:val="single" w:sz="8" w:space="0" w:color="808080"/>
            </w:tcBorders>
          </w:tcPr>
          <w:p>
            <w:pPr>
              <w:pStyle w:val="SSBDataQDecimal"/>
              <w:rPr>
                <w:b/>
              </w:rPr>
            </w:pPr>
            <w:r>
              <w:fldChar w:fldCharType="begin">
                <w:ffData>
                  <w:name w:val="TRC_Y1Q3"/>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1Q3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op w:val="single" w:sz="8" w:space="0" w:color="808080"/>
              <w:bottom w:val="single" w:sz="8" w:space="0" w:color="808080"/>
            </w:tcBorders>
          </w:tcPr>
          <w:p>
            <w:pPr>
              <w:pStyle w:val="SSBDataQDecimal"/>
              <w:rPr>
                <w:b/>
              </w:rPr>
            </w:pPr>
            <w:r>
              <w:fldChar w:fldCharType="begin">
                <w:ffData>
                  <w:name w:val="TRC_Y1Q4"/>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1Q4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op w:val="single" w:sz="8" w:space="0" w:color="808080"/>
              <w:bottom w:val="single" w:sz="8" w:space="0" w:color="808080"/>
            </w:tcBorders>
          </w:tcPr>
          <w:p>
            <w:pPr>
              <w:pStyle w:val="SSBDataQDecimal"/>
              <w:rPr>
                <w:b/>
              </w:rPr>
            </w:pPr>
            <w:r>
              <w:fldChar w:fldCharType="begin">
                <w:ffData>
                  <w:name w:val="TRC_Y1TOTAL"/>
                  <w:enabled/>
                  <w:calcOnExit w:val="0"/>
                  <w:textInput/>
                </w:ffData>
              </w:fldChar>
            </w:r>
            <w:r>
              <w:rPr>
                <w:b/>
                <w:lang w:val="en-CA"/>
              </w:rPr>
              <w:instrText xml:space="preserve"> FORMTEXT </w:instrText>
            </w:r>
            <w:r>
              <w:rPr>
                <w:b/>
                <w:lang w:val="en-CA"/>
              </w:rPr>
            </w:r>
            <w:r>
              <w:rPr>
                <w:b/>
                <w:lang w:val="en-CA"/>
              </w:rPr>
              <w:fldChar w:fldCharType="separate"/>
            </w:r>
            <w:r>
              <w:rPr>
                <w:b/>
                <w:lang w:val="en-CA"/>
              </w:rPr>
              <w:t>$1.33</w:t>
            </w:r>
            <w:r>
              <w:rPr>
                <w:b/>
                <w:lang w:val="en-CA"/>
              </w:rPr>
            </w:r>
            <w:r>
              <w:rPr>
                <w:b/>
                <w:lang w:val="en-CA"/>
              </w:rPr>
              <w:fldChar w:fldCharType="end"/>
            </w:r>
            <w:r>
              <w:fldChar w:fldCharType="begin">
                <w:ffData>
                  <w:name w:val="TRC_Y1TOTAL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r>
      <w:tr>
        <w:trPr>
          <w:trHeight w:val="240" w:hRule="exact"/>
        </w:trPr>
        <w:tc>
          <w:tcPr>
            <w:tcW w:w="864" w:type="dxa"/>
            <w:tcBorders/>
          </w:tcPr>
          <w:p>
            <w:pPr>
              <w:pStyle w:val="SSBDataQ"/>
              <w:rPr>
                <w:b/>
              </w:rPr>
            </w:pPr>
            <w:r>
              <w:fldChar w:fldCharType="begin">
                <w:ffData>
                  <w:name w:val="TRC_QDYear2"/>
                  <w:enabled/>
                  <w:calcOnExit w:val="0"/>
                  <w:textInput/>
                </w:ffData>
              </w:fldChar>
            </w:r>
            <w:r>
              <w:rPr>
                <w:b/>
                <w:lang w:val="en-CA"/>
              </w:rPr>
              <w:instrText xml:space="preserve"> FORMTEXT </w:instrText>
            </w:r>
            <w:r>
              <w:rPr>
                <w:b/>
                <w:lang w:val="en-CA"/>
              </w:rPr>
            </w:r>
            <w:r>
              <w:rPr>
                <w:b/>
                <w:lang w:val="en-CA"/>
              </w:rPr>
              <w:fldChar w:fldCharType="separate"/>
            </w:r>
            <w:r>
              <w:rPr>
                <w:b/>
                <w:lang w:val="en-CA"/>
              </w:rPr>
              <w:t>12/01E</w:t>
            </w:r>
            <w:r/>
            <w:r>
              <w:rPr>
                <w:b/>
                <w:lang w:val="en-CA"/>
              </w:rPr>
              <w:fldChar w:fldCharType="end"/>
            </w:r>
            <w:r>
              <w:rPr>
                <w:b/>
                <w:lang w:val="en-CA"/>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2Q1"/>
                  <w:enabled/>
                  <w:calcOnExit w:val="0"/>
                  <w:textInput/>
                </w:ffData>
              </w:fldChar>
            </w:r>
            <w:r>
              <w:rPr>
                <w:b/>
                <w:lang w:val="en-CA"/>
              </w:rPr>
              <w:instrText xml:space="preserve"> FORMTEXT </w:instrText>
            </w:r>
            <w:r>
              <w:rPr>
                <w:b/>
                <w:lang w:val="en-CA"/>
              </w:rPr>
            </w:r>
            <w:r>
              <w:rPr>
                <w:b/>
                <w:lang w:val="en-CA"/>
              </w:rPr>
              <w:fldChar w:fldCharType="separate"/>
            </w:r>
            <w:r>
              <w:rPr>
                <w:b/>
                <w:lang w:val="en-CA"/>
              </w:rPr>
              <w:t>$0.49</w:t>
            </w:r>
            <w:r>
              <w:rPr>
                <w:b/>
                <w:lang w:val="en-CA"/>
              </w:rPr>
            </w:r>
            <w:r>
              <w:rPr>
                <w:b/>
                <w:lang w:val="en-CA"/>
              </w:rPr>
              <w:fldChar w:fldCharType="end"/>
            </w:r>
            <w:r>
              <w:fldChar w:fldCharType="begin">
                <w:ffData>
                  <w:name w:val="TRC_Y2Q1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cPr>
          <w:p>
            <w:pPr>
              <w:pStyle w:val="SSBDataQDecimal"/>
              <w:rPr>
                <w:b/>
              </w:rPr>
            </w:pPr>
            <w:r>
              <w:fldChar w:fldCharType="begin">
                <w:ffData>
                  <w:name w:val="TRC_Y2Q2"/>
                  <w:enabled/>
                  <w:calcOnExit w:val="0"/>
                  <w:textInput/>
                </w:ffData>
              </w:fldChar>
            </w:r>
            <w:r>
              <w:rPr>
                <w:b/>
                <w:lang w:val="en-CA"/>
              </w:rPr>
              <w:instrText xml:space="preserve"> FORMTEXT </w:instrText>
            </w:r>
            <w:r>
              <w:rPr>
                <w:b/>
                <w:lang w:val="en-CA"/>
              </w:rPr>
            </w:r>
            <w:r>
              <w:rPr>
                <w:b/>
                <w:lang w:val="en-CA"/>
              </w:rPr>
              <w:fldChar w:fldCharType="separate"/>
            </w:r>
            <w:r>
              <w:rPr>
                <w:b/>
                <w:lang w:val="en-CA"/>
              </w:rPr>
              <w:t>$0.46</w:t>
            </w:r>
            <w:r>
              <w:rPr>
                <w:b/>
                <w:lang w:val="en-CA"/>
              </w:rPr>
            </w:r>
            <w:r>
              <w:rPr>
                <w:b/>
                <w:lang w:val="en-CA"/>
              </w:rPr>
              <w:fldChar w:fldCharType="end"/>
            </w:r>
            <w:r>
              <w:fldChar w:fldCharType="begin">
                <w:ffData>
                  <w:name w:val="TRC_Y2Q2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cPr>
          <w:p>
            <w:pPr>
              <w:pStyle w:val="SSBDataQDecimal"/>
              <w:rPr>
                <w:b/>
              </w:rPr>
            </w:pPr>
            <w:r>
              <w:fldChar w:fldCharType="begin">
                <w:ffData>
                  <w:name w:val="TRC_Y2Q3"/>
                  <w:enabled/>
                  <w:calcOnExit w:val="0"/>
                  <w:textInput/>
                </w:ffData>
              </w:fldChar>
            </w:r>
            <w:r>
              <w:rPr>
                <w:b/>
                <w:lang w:val="en-CA"/>
              </w:rPr>
              <w:instrText xml:space="preserve"> FORMTEXT </w:instrText>
            </w:r>
            <w:r>
              <w:rPr>
                <w:b/>
                <w:lang w:val="en-CA"/>
              </w:rPr>
            </w:r>
            <w:r>
              <w:rPr>
                <w:b/>
                <w:lang w:val="en-CA"/>
              </w:rPr>
              <w:fldChar w:fldCharType="separate"/>
            </w:r>
            <w:r>
              <w:rPr>
                <w:b/>
                <w:lang w:val="en-CA"/>
              </w:rPr>
              <w:t>$0.41</w:t>
            </w:r>
            <w:r>
              <w:rPr>
                <w:b/>
                <w:lang w:val="en-CA"/>
              </w:rPr>
            </w:r>
            <w:r>
              <w:rPr>
                <w:b/>
                <w:lang w:val="en-CA"/>
              </w:rPr>
              <w:fldChar w:fldCharType="end"/>
            </w:r>
            <w:r>
              <w:fldChar w:fldCharType="begin">
                <w:ffData>
                  <w:name w:val="TRC_Y2Q3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cPr>
          <w:p>
            <w:pPr>
              <w:pStyle w:val="SSBDataQDecimal"/>
              <w:rPr>
                <w:b/>
              </w:rPr>
            </w:pPr>
            <w:r>
              <w:fldChar w:fldCharType="begin">
                <w:ffData>
                  <w:name w:val="TRC_Y2Q4"/>
                  <w:enabled/>
                  <w:calcOnExit w:val="0"/>
                  <w:textInput/>
                </w:ffData>
              </w:fldChar>
            </w:r>
            <w:r>
              <w:rPr>
                <w:b/>
                <w:lang w:val="en-CA"/>
              </w:rPr>
              <w:instrText xml:space="preserve"> FORMTEXT </w:instrText>
            </w:r>
            <w:r>
              <w:rPr>
                <w:b/>
                <w:lang w:val="en-CA"/>
              </w:rPr>
            </w:r>
            <w:r>
              <w:rPr>
                <w:b/>
                <w:lang w:val="en-CA"/>
              </w:rPr>
              <w:fldChar w:fldCharType="separate"/>
            </w:r>
            <w:r>
              <w:rPr>
                <w:b/>
                <w:lang w:val="en-CA"/>
              </w:rPr>
              <w:t>$0.36</w:t>
            </w:r>
            <w:r>
              <w:rPr>
                <w:b/>
                <w:lang w:val="en-CA"/>
              </w:rPr>
            </w:r>
            <w:r>
              <w:rPr>
                <w:b/>
                <w:lang w:val="en-CA"/>
              </w:rPr>
              <w:fldChar w:fldCharType="end"/>
            </w:r>
            <w:r>
              <w:fldChar w:fldCharType="begin">
                <w:ffData>
                  <w:name w:val="TRC_Y2Q4AE"/>
                  <w:enabled/>
                  <w:calcOnExit w:val="0"/>
                  <w:textInput/>
                </w:ffData>
              </w:fldChar>
            </w:r>
            <w:r>
              <w:rPr>
                <w:b/>
                <w:lang w:val="en-CA"/>
              </w:rPr>
              <w:instrText xml:space="preserve"> FORMTEXT </w:instrText>
            </w:r>
            <w:r>
              <w:rPr>
                <w:b/>
                <w:lang w:val="en-CA"/>
              </w:rPr>
            </w:r>
            <w:r>
              <w:rPr>
                <w:b/>
                <w:lang w:val="en-CA"/>
              </w:rPr>
              <w:fldChar w:fldCharType="separate"/>
            </w:r>
            <w:r>
              <w:rPr>
                <w:b/>
                <w:lang w:val="en-CA"/>
              </w:rPr>
              <w:t>E</w:t>
            </w:r>
            <w:r/>
            <w:r>
              <w:rPr>
                <w:b/>
                <w:lang w:val="en-CA"/>
              </w:rPr>
              <w:fldChar w:fldCharType="end"/>
            </w:r>
            <w:r>
              <w:rPr>
                <w:b/>
                <w:lang w:val="en-CA"/>
              </w:rPr>
            </w:r>
          </w:p>
        </w:tc>
        <w:tc>
          <w:tcPr>
            <w:tcW w:w="1008" w:type="dxa"/>
            <w:tcBorders/>
          </w:tcPr>
          <w:p>
            <w:pPr>
              <w:pStyle w:val="SSBDataQDecimal"/>
              <w:rPr>
                <w:b/>
              </w:rPr>
            </w:pPr>
            <w:r>
              <w:fldChar w:fldCharType="begin">
                <w:ffData>
                  <w:name w:val="TRC_Y2TOTAL"/>
                  <w:enabled/>
                  <w:calcOnExit w:val="0"/>
                  <w:textInput/>
                </w:ffData>
              </w:fldChar>
            </w:r>
            <w:r>
              <w:rPr>
                <w:b/>
                <w:lang w:val="en-CA"/>
              </w:rPr>
              <w:instrText xml:space="preserve"> FORMTEXT </w:instrText>
            </w:r>
            <w:r>
              <w:rPr>
                <w:b/>
                <w:lang w:val="en-CA"/>
              </w:rPr>
            </w:r>
            <w:r>
              <w:rPr>
                <w:b/>
                <w:lang w:val="en-CA"/>
              </w:rPr>
              <w:fldChar w:fldCharType="separate"/>
            </w:r>
            <w:r>
              <w:rPr>
                <w:b/>
                <w:lang w:val="en-CA"/>
              </w:rPr>
              <w:t>$1.72</w:t>
            </w:r>
            <w:r>
              <w:rPr>
                <w:b/>
                <w:lang w:val="en-CA"/>
              </w:rPr>
            </w:r>
            <w:r>
              <w:rPr>
                <w:b/>
                <w:lang w:val="en-CA"/>
              </w:rPr>
              <w:fldChar w:fldCharType="end"/>
            </w:r>
            <w:r>
              <w:fldChar w:fldCharType="begin">
                <w:ffData>
                  <w:name w:val="TRC_Y2TOTALAE"/>
                  <w:enabled/>
                  <w:calcOnExit w:val="0"/>
                  <w:textInput/>
                </w:ffData>
              </w:fldChar>
            </w:r>
            <w:r>
              <w:rPr>
                <w:b/>
                <w:lang w:val="en-CA"/>
              </w:rPr>
              <w:instrText xml:space="preserve"> FORMTEXT </w:instrText>
            </w:r>
            <w:r>
              <w:rPr>
                <w:b/>
                <w:lang w:val="en-CA"/>
              </w:rPr>
            </w:r>
            <w:r>
              <w:rPr>
                <w:b/>
                <w:lang w:val="en-CA"/>
              </w:rPr>
              <w:fldChar w:fldCharType="separate"/>
            </w:r>
            <w:r>
              <w:rPr>
                <w:b/>
                <w:lang w:val="en-CA"/>
              </w:rPr>
              <w:t>E</w:t>
            </w:r>
            <w:r/>
            <w:r>
              <w:rPr>
                <w:b/>
                <w:lang w:val="en-CA"/>
              </w:rPr>
              <w:fldChar w:fldCharType="end"/>
            </w:r>
            <w:r>
              <w:rPr>
                <w:b/>
                <w:lang w:val="en-CA"/>
              </w:rPr>
            </w:r>
          </w:p>
        </w:tc>
      </w:tr>
      <w:tr>
        <w:trPr>
          <w:trHeight w:val="260" w:hRule="exact"/>
        </w:trPr>
        <w:tc>
          <w:tcPr>
            <w:tcW w:w="864" w:type="dxa"/>
            <w:tcBorders>
              <w:bottom w:val="single" w:sz="8" w:space="0" w:color="808080"/>
            </w:tcBorders>
          </w:tcPr>
          <w:p>
            <w:pPr>
              <w:pStyle w:val="SSBDataQ"/>
              <w:snapToGrid w:val="false"/>
              <w:rPr>
                <w:b/>
              </w:rPr>
            </w:pPr>
            <w:r>
              <w:rPr>
                <w:b/>
              </w:rPr>
            </w:r>
          </w:p>
        </w:tc>
        <w:tc>
          <w:tcPr>
            <w:tcW w:w="778" w:type="dxa"/>
            <w:tcBorders>
              <w:bottom w:val="single" w:sz="8" w:space="0" w:color="808080"/>
            </w:tcBorders>
          </w:tcPr>
          <w:p>
            <w:pPr>
              <w:pStyle w:val="SSBDataQ"/>
              <w:rPr/>
            </w:pPr>
            <w:r>
              <w:rPr/>
              <w:t>Previous</w:t>
            </w:r>
          </w:p>
        </w:tc>
        <w:tc>
          <w:tcPr>
            <w:tcW w:w="1008" w:type="dxa"/>
            <w:tcBorders>
              <w:bottom w:val="single" w:sz="8" w:space="0" w:color="808080"/>
            </w:tcBorders>
          </w:tcPr>
          <w:p>
            <w:pPr>
              <w:pStyle w:val="SSBDataQDecimal"/>
              <w:rPr/>
            </w:pPr>
            <w:r>
              <w:fldChar w:fldCharType="begin">
                <w:ffData>
                  <w:name w:val="TRC_Y2Q1_P"/>
                  <w:enabled/>
                  <w:calcOnExit w:val="0"/>
                  <w:textInput/>
                </w:ffData>
              </w:fldChar>
            </w:r>
            <w:r>
              <w:rPr>
                <w:lang w:val="en-CA"/>
              </w:rPr>
              <w:instrText xml:space="preserve"> FORMTEXT </w:instrText>
            </w:r>
            <w:r>
              <w:rPr>
                <w:lang w:val="en-CA"/>
              </w:rPr>
            </w:r>
            <w:r>
              <w:rPr>
                <w:lang w:val="en-CA"/>
              </w:rPr>
              <w:fldChar w:fldCharType="separate"/>
            </w:r>
            <w:r>
              <w:rPr>
                <w:lang w:val="en-CA"/>
              </w:rPr>
              <w:t>$0.49</w:t>
            </w:r>
            <w:r>
              <w:rPr>
                <w:lang w:val="en-CA"/>
              </w:rPr>
            </w:r>
            <w:r>
              <w:rPr>
                <w:lang w:val="en-CA"/>
              </w:rPr>
              <w:fldChar w:fldCharType="end"/>
            </w:r>
            <w:r>
              <w:fldChar w:fldCharType="begin">
                <w:ffData>
                  <w:name w:val="TRC_Y2Q1AE_P"/>
                  <w:enabled/>
                  <w:calcOnExit w:val="0"/>
                  <w:textInput/>
                </w:ffData>
              </w:fldChar>
            </w:r>
            <w:r>
              <w:rPr>
                <w:lang w:val="en-CA"/>
              </w:rPr>
              <w:instrText xml:space="preserve"> FORMTEXT </w:instrText>
            </w:r>
            <w:r>
              <w:rPr>
                <w:lang w:val="en-CA"/>
              </w:rPr>
            </w:r>
            <w:r>
              <w:rPr>
                <w:lang w:val="en-CA"/>
              </w:rPr>
              <w:fldChar w:fldCharType="separate"/>
            </w:r>
            <w:r>
              <w:rPr>
                <w:lang w:val="en-CA"/>
              </w:rPr>
              <w:t>A</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2Q2_P"/>
                  <w:enabled/>
                  <w:calcOnExit w:val="0"/>
                  <w:textInput/>
                </w:ffData>
              </w:fldChar>
            </w:r>
            <w:r>
              <w:rPr>
                <w:lang w:val="en-CA"/>
              </w:rPr>
              <w:instrText xml:space="preserve"> FORMTEXT </w:instrText>
            </w:r>
            <w:r>
              <w:rPr>
                <w:lang w:val="en-CA"/>
              </w:rPr>
            </w:r>
            <w:r>
              <w:rPr>
                <w:lang w:val="en-CA"/>
              </w:rPr>
              <w:fldChar w:fldCharType="separate"/>
            </w:r>
            <w:r>
              <w:rPr>
                <w:lang w:val="en-CA"/>
              </w:rPr>
              <w:t>$0.46</w:t>
            </w:r>
            <w:r>
              <w:rPr>
                <w:lang w:val="en-CA"/>
              </w:rPr>
            </w:r>
            <w:r>
              <w:rPr>
                <w:lang w:val="en-CA"/>
              </w:rPr>
              <w:fldChar w:fldCharType="end"/>
            </w:r>
            <w:r>
              <w:fldChar w:fldCharType="begin">
                <w:ffData>
                  <w:name w:val="TRC_Y2Q2AE_P"/>
                  <w:enabled/>
                  <w:calcOnExit w:val="0"/>
                  <w:textInput/>
                </w:ffData>
              </w:fldChar>
            </w:r>
            <w:r>
              <w:rPr>
                <w:lang w:val="en-CA"/>
              </w:rPr>
              <w:instrText xml:space="preserve"> FORMTEXT </w:instrText>
            </w:r>
            <w:r>
              <w:rPr>
                <w:lang w:val="en-CA"/>
              </w:rPr>
            </w:r>
            <w:r>
              <w:rPr>
                <w:lang w:val="en-CA"/>
              </w:rPr>
              <w:fldChar w:fldCharType="separate"/>
            </w:r>
            <w:r>
              <w:rPr>
                <w:lang w:val="en-CA"/>
              </w:rPr>
              <w:t>A</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2Q3_P"/>
                  <w:enabled/>
                  <w:calcOnExit w:val="0"/>
                  <w:textInput/>
                </w:ffData>
              </w:fldChar>
            </w:r>
            <w:r>
              <w:rPr>
                <w:lang w:val="en-CA"/>
              </w:rPr>
              <w:instrText xml:space="preserve"> FORMTEXT </w:instrText>
            </w:r>
            <w:r>
              <w:rPr>
                <w:lang w:val="en-CA"/>
              </w:rPr>
            </w:r>
            <w:r>
              <w:rPr>
                <w:lang w:val="en-CA"/>
              </w:rPr>
              <w:fldChar w:fldCharType="separate"/>
            </w:r>
            <w:r>
              <w:rPr>
                <w:lang w:val="en-CA"/>
              </w:rPr>
              <w:t>$0.41</w:t>
            </w:r>
            <w:r>
              <w:rPr>
                <w:lang w:val="en-CA"/>
              </w:rPr>
            </w:r>
            <w:r>
              <w:rPr>
                <w:lang w:val="en-CA"/>
              </w:rPr>
              <w:fldChar w:fldCharType="end"/>
            </w:r>
            <w:r>
              <w:fldChar w:fldCharType="begin">
                <w:ffData>
                  <w:name w:val="TRC_Y2Q3AE_P"/>
                  <w:enabled/>
                  <w:calcOnExit w:val="0"/>
                  <w:textInput/>
                </w:ffData>
              </w:fldChar>
            </w:r>
            <w:r>
              <w:rPr>
                <w:lang w:val="en-CA"/>
              </w:rPr>
              <w:instrText xml:space="preserve"> FORMTEXT </w:instrText>
            </w:r>
            <w:r>
              <w:rPr>
                <w:lang w:val="en-CA"/>
              </w:rPr>
            </w:r>
            <w:r>
              <w:rPr>
                <w:lang w:val="en-CA"/>
              </w:rPr>
              <w:fldChar w:fldCharType="separate"/>
            </w:r>
            <w:r>
              <w:rPr>
                <w:lang w:val="en-CA"/>
              </w:rPr>
              <w:t>A</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2Q4_P"/>
                  <w:enabled/>
                  <w:calcOnExit w:val="0"/>
                  <w:textInput/>
                </w:ffData>
              </w:fldChar>
            </w:r>
            <w:r>
              <w:rPr>
                <w:lang w:val="en-CA"/>
              </w:rPr>
              <w:instrText xml:space="preserve"> FORMTEXT </w:instrText>
            </w:r>
            <w:r>
              <w:rPr>
                <w:lang w:val="en-CA"/>
              </w:rPr>
            </w:r>
            <w:r>
              <w:rPr>
                <w:lang w:val="en-CA"/>
              </w:rPr>
              <w:fldChar w:fldCharType="separate"/>
            </w:r>
            <w:r>
              <w:rPr>
                <w:lang w:val="en-CA"/>
              </w:rPr>
              <w:t>$0.46</w:t>
            </w:r>
            <w:r>
              <w:rPr>
                <w:lang w:val="en-CA"/>
              </w:rPr>
            </w:r>
            <w:r>
              <w:rPr>
                <w:lang w:val="en-CA"/>
              </w:rPr>
              <w:fldChar w:fldCharType="end"/>
            </w:r>
            <w:r>
              <w:fldChar w:fldCharType="begin">
                <w:ffData>
                  <w:name w:val="TRC_Y2Q4AE_P"/>
                  <w:enabled/>
                  <w:calcOnExit w:val="0"/>
                  <w:textInput/>
                </w:ffData>
              </w:fldChar>
            </w:r>
            <w:r>
              <w:rPr>
                <w:lang w:val="en-CA"/>
              </w:rPr>
              <w:instrText xml:space="preserve"> FORMTEXT </w:instrText>
            </w:r>
            <w:r>
              <w:rPr>
                <w:lang w:val="en-CA"/>
              </w:rPr>
            </w:r>
            <w:r>
              <w:rPr>
                <w:lang w:val="en-CA"/>
              </w:rPr>
              <w:fldChar w:fldCharType="separate"/>
            </w:r>
            <w:r>
              <w:rPr>
                <w:lang w:val="en-CA"/>
              </w:rPr>
              <w:t>E</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2TOTAL_P"/>
                  <w:enabled/>
                  <w:calcOnExit w:val="0"/>
                  <w:textInput/>
                </w:ffData>
              </w:fldChar>
            </w:r>
            <w:r>
              <w:rPr>
                <w:lang w:val="en-CA"/>
              </w:rPr>
              <w:instrText xml:space="preserve"> FORMTEXT </w:instrText>
            </w:r>
            <w:r>
              <w:rPr>
                <w:lang w:val="en-CA"/>
              </w:rPr>
            </w:r>
            <w:r>
              <w:rPr>
                <w:lang w:val="en-CA"/>
              </w:rPr>
              <w:fldChar w:fldCharType="separate"/>
            </w:r>
            <w:r>
              <w:rPr>
                <w:lang w:val="en-CA"/>
              </w:rPr>
              <w:t>$1.80</w:t>
            </w:r>
            <w:r>
              <w:rPr>
                <w:lang w:val="en-CA"/>
              </w:rPr>
            </w:r>
            <w:r>
              <w:rPr>
                <w:lang w:val="en-CA"/>
              </w:rPr>
              <w:fldChar w:fldCharType="end"/>
            </w:r>
            <w:r>
              <w:fldChar w:fldCharType="begin">
                <w:ffData>
                  <w:name w:val="TRC_Y2TOTALAE_P"/>
                  <w:enabled/>
                  <w:calcOnExit w:val="0"/>
                  <w:textInput/>
                </w:ffData>
              </w:fldChar>
            </w:r>
            <w:r>
              <w:rPr>
                <w:lang w:val="en-CA"/>
              </w:rPr>
              <w:instrText xml:space="preserve"> FORMTEXT </w:instrText>
            </w:r>
            <w:r>
              <w:rPr>
                <w:lang w:val="en-CA"/>
              </w:rPr>
            </w:r>
            <w:r>
              <w:rPr>
                <w:lang w:val="en-CA"/>
              </w:rPr>
              <w:fldChar w:fldCharType="separate"/>
            </w:r>
            <w:r>
              <w:rPr>
                <w:lang w:val="en-CA"/>
              </w:rPr>
              <w:t>E</w:t>
            </w:r>
            <w:r/>
            <w:r>
              <w:rPr>
                <w:lang w:val="en-CA"/>
              </w:rPr>
              <w:fldChar w:fldCharType="end"/>
            </w:r>
            <w:r>
              <w:rPr>
                <w:lang w:val="en-CA"/>
              </w:rPr>
            </w:r>
          </w:p>
        </w:tc>
      </w:tr>
      <w:tr>
        <w:trPr>
          <w:trHeight w:val="240" w:hRule="exact"/>
        </w:trPr>
        <w:tc>
          <w:tcPr>
            <w:tcW w:w="864" w:type="dxa"/>
            <w:tcBorders/>
          </w:tcPr>
          <w:p>
            <w:pPr>
              <w:pStyle w:val="SSBDataQ"/>
              <w:rPr>
                <w:b/>
              </w:rPr>
            </w:pPr>
            <w:r>
              <w:fldChar w:fldCharType="begin">
                <w:ffData>
                  <w:name w:val="TRC_QDYear3"/>
                  <w:enabled/>
                  <w:calcOnExit w:val="0"/>
                  <w:textInput/>
                </w:ffData>
              </w:fldChar>
            </w:r>
            <w:r>
              <w:rPr>
                <w:b/>
                <w:lang w:val="en-CA"/>
              </w:rPr>
              <w:instrText xml:space="preserve"> FORMTEXT </w:instrText>
            </w:r>
            <w:r>
              <w:rPr>
                <w:b/>
                <w:lang w:val="en-CA"/>
              </w:rPr>
            </w:r>
            <w:r>
              <w:rPr>
                <w:b/>
                <w:lang w:val="en-CA"/>
              </w:rPr>
              <w:fldChar w:fldCharType="separate"/>
            </w:r>
            <w:r>
              <w:rPr>
                <w:b/>
                <w:lang w:val="en-CA"/>
              </w:rPr>
              <w:t>12/02E</w:t>
            </w:r>
            <w:r/>
            <w:r>
              <w:rPr>
                <w:b/>
                <w:lang w:val="en-CA"/>
              </w:rPr>
              <w:fldChar w:fldCharType="end"/>
            </w:r>
            <w:r>
              <w:rPr>
                <w:b/>
                <w:lang w:val="en-CA"/>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3Q1"/>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3Q1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3Q2"/>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3Q2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3Q3"/>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3Q3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3Q4"/>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3Q4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3TOTAL"/>
                  <w:enabled/>
                  <w:calcOnExit w:val="0"/>
                  <w:textInput/>
                </w:ffData>
              </w:fldChar>
            </w:r>
            <w:r>
              <w:rPr>
                <w:b/>
                <w:lang w:val="en-CA"/>
              </w:rPr>
              <w:instrText xml:space="preserve"> FORMTEXT </w:instrText>
            </w:r>
            <w:r>
              <w:rPr>
                <w:b/>
                <w:lang w:val="en-CA"/>
              </w:rPr>
            </w:r>
            <w:r>
              <w:rPr>
                <w:b/>
                <w:lang w:val="en-CA"/>
              </w:rPr>
              <w:fldChar w:fldCharType="separate"/>
            </w:r>
            <w:r>
              <w:rPr>
                <w:b/>
                <w:lang w:val="en-CA"/>
              </w:rPr>
              <w:t>$1.50</w:t>
            </w:r>
            <w:r>
              <w:rPr>
                <w:b/>
                <w:lang w:val="en-CA"/>
              </w:rPr>
            </w:r>
            <w:r>
              <w:rPr>
                <w:b/>
                <w:lang w:val="en-CA"/>
              </w:rPr>
              <w:fldChar w:fldCharType="end"/>
            </w:r>
            <w:r>
              <w:fldChar w:fldCharType="begin">
                <w:ffData>
                  <w:name w:val="TRC_Y3TOTALAE"/>
                  <w:enabled/>
                  <w:calcOnExit w:val="0"/>
                  <w:textInput/>
                </w:ffData>
              </w:fldChar>
            </w:r>
            <w:r>
              <w:rPr>
                <w:b/>
                <w:lang w:val="en-CA"/>
              </w:rPr>
              <w:instrText xml:space="preserve"> FORMTEXT </w:instrText>
            </w:r>
            <w:r>
              <w:rPr>
                <w:b/>
                <w:lang w:val="en-CA"/>
              </w:rPr>
            </w:r>
            <w:r>
              <w:rPr>
                <w:b/>
                <w:lang w:val="en-CA"/>
              </w:rPr>
              <w:fldChar w:fldCharType="separate"/>
            </w:r>
            <w:r>
              <w:rPr>
                <w:b/>
                <w:lang w:val="en-CA"/>
              </w:rPr>
              <w:t>E</w:t>
            </w:r>
            <w:r/>
            <w:r>
              <w:rPr>
                <w:b/>
                <w:lang w:val="en-CA"/>
              </w:rPr>
              <w:fldChar w:fldCharType="end"/>
            </w:r>
            <w:r>
              <w:rPr>
                <w:b/>
                <w:lang w:val="en-CA"/>
              </w:rPr>
            </w:r>
          </w:p>
        </w:tc>
      </w:tr>
      <w:tr>
        <w:trPr>
          <w:trHeight w:val="260" w:hRule="exact"/>
        </w:trPr>
        <w:tc>
          <w:tcPr>
            <w:tcW w:w="864" w:type="dxa"/>
            <w:tcBorders>
              <w:bottom w:val="single" w:sz="8" w:space="0" w:color="808080"/>
            </w:tcBorders>
          </w:tcPr>
          <w:p>
            <w:pPr>
              <w:pStyle w:val="SSBDataQ"/>
              <w:snapToGrid w:val="false"/>
              <w:rPr>
                <w:b/>
              </w:rPr>
            </w:pPr>
            <w:r>
              <w:rPr>
                <w:b/>
              </w:rPr>
            </w:r>
          </w:p>
        </w:tc>
        <w:tc>
          <w:tcPr>
            <w:tcW w:w="778" w:type="dxa"/>
            <w:tcBorders>
              <w:bottom w:val="single" w:sz="8" w:space="0" w:color="808080"/>
            </w:tcBorders>
          </w:tcPr>
          <w:p>
            <w:pPr>
              <w:pStyle w:val="SSBDataQ"/>
              <w:rPr/>
            </w:pPr>
            <w:r>
              <w:rPr/>
              <w:t>Previous</w:t>
            </w:r>
          </w:p>
        </w:tc>
        <w:tc>
          <w:tcPr>
            <w:tcW w:w="1008" w:type="dxa"/>
            <w:tcBorders>
              <w:bottom w:val="single" w:sz="8" w:space="0" w:color="808080"/>
            </w:tcBorders>
          </w:tcPr>
          <w:p>
            <w:pPr>
              <w:pStyle w:val="SSBDataQDecimal"/>
              <w:rPr/>
            </w:pPr>
            <w:r>
              <w:fldChar w:fldCharType="begin">
                <w:ffData>
                  <w:name w:val="TRC_Y3Q1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3Q1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3Q2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3Q2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3Q3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3Q3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3Q4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3Q4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3TOTAL_P"/>
                  <w:enabled/>
                  <w:calcOnExit w:val="0"/>
                  <w:textInput/>
                </w:ffData>
              </w:fldChar>
            </w:r>
            <w:r>
              <w:rPr>
                <w:lang w:val="en-CA"/>
              </w:rPr>
              <w:instrText xml:space="preserve"> FORMTEXT </w:instrText>
            </w:r>
            <w:r>
              <w:rPr>
                <w:lang w:val="en-CA"/>
              </w:rPr>
            </w:r>
            <w:r>
              <w:rPr>
                <w:lang w:val="en-CA"/>
              </w:rPr>
              <w:fldChar w:fldCharType="separate"/>
            </w:r>
            <w:r>
              <w:rPr>
                <w:lang w:val="en-CA"/>
              </w:rPr>
              <w:t>$2.15</w:t>
            </w:r>
            <w:r>
              <w:rPr>
                <w:lang w:val="en-CA"/>
              </w:rPr>
            </w:r>
            <w:r>
              <w:rPr>
                <w:lang w:val="en-CA"/>
              </w:rPr>
              <w:fldChar w:fldCharType="end"/>
            </w:r>
            <w:r>
              <w:fldChar w:fldCharType="begin">
                <w:ffData>
                  <w:name w:val="TRC_Y3TOTALAE_P"/>
                  <w:enabled/>
                  <w:calcOnExit w:val="0"/>
                  <w:textInput/>
                </w:ffData>
              </w:fldChar>
            </w:r>
            <w:r>
              <w:rPr>
                <w:lang w:val="en-CA"/>
              </w:rPr>
              <w:instrText xml:space="preserve"> FORMTEXT </w:instrText>
            </w:r>
            <w:r>
              <w:rPr>
                <w:lang w:val="en-CA"/>
              </w:rPr>
            </w:r>
            <w:r>
              <w:rPr>
                <w:lang w:val="en-CA"/>
              </w:rPr>
              <w:fldChar w:fldCharType="separate"/>
            </w:r>
            <w:r>
              <w:rPr>
                <w:lang w:val="en-CA"/>
              </w:rPr>
              <w:t>E</w:t>
            </w:r>
            <w:r/>
            <w:r>
              <w:rPr>
                <w:lang w:val="en-CA"/>
              </w:rPr>
              <w:fldChar w:fldCharType="end"/>
            </w:r>
            <w:r>
              <w:rPr>
                <w:lang w:val="en-CA"/>
              </w:rPr>
            </w:r>
          </w:p>
        </w:tc>
      </w:tr>
      <w:tr>
        <w:trPr>
          <w:trHeight w:val="240" w:hRule="exact"/>
        </w:trPr>
        <w:tc>
          <w:tcPr>
            <w:tcW w:w="864" w:type="dxa"/>
            <w:tcBorders/>
          </w:tcPr>
          <w:p>
            <w:pPr>
              <w:pStyle w:val="SSBDataQ"/>
              <w:rPr>
                <w:b/>
              </w:rPr>
            </w:pPr>
            <w:r>
              <w:fldChar w:fldCharType="begin">
                <w:ffData>
                  <w:name w:val="TRC_QDYear4"/>
                  <w:enabled/>
                  <w:calcOnExit w:val="0"/>
                  <w:textInput/>
                </w:ffData>
              </w:fldChar>
            </w:r>
            <w:r>
              <w:rPr>
                <w:b/>
                <w:lang w:val="en-CA"/>
              </w:rPr>
              <w:instrText xml:space="preserve"> FORMTEXT </w:instrText>
            </w:r>
            <w:r>
              <w:rPr>
                <w:b/>
                <w:lang w:val="en-CA"/>
              </w:rPr>
            </w:r>
            <w:r>
              <w:rPr>
                <w:b/>
                <w:lang w:val="en-CA"/>
              </w:rPr>
              <w:fldChar w:fldCharType="separate"/>
            </w:r>
            <w:r>
              <w:rPr>
                <w:b/>
                <w:lang w:val="en-CA"/>
              </w:rPr>
              <w:t>12/03E</w:t>
            </w:r>
            <w:r/>
            <w:r>
              <w:rPr>
                <w:b/>
                <w:lang w:val="en-CA"/>
              </w:rPr>
              <w:fldChar w:fldCharType="end"/>
            </w:r>
            <w:r>
              <w:rPr>
                <w:b/>
                <w:lang w:val="en-CA"/>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4Q1"/>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Q1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4Q2"/>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Q2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4Q3"/>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Q3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4Q4"/>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Q4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4TOTAL"/>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TOTAL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r>
      <w:tr>
        <w:trPr>
          <w:trHeight w:val="240" w:hRule="exact"/>
        </w:trPr>
        <w:tc>
          <w:tcPr>
            <w:tcW w:w="864" w:type="dxa"/>
            <w:tcBorders>
              <w:bottom w:val="single" w:sz="12" w:space="0" w:color="808080"/>
            </w:tcBorders>
          </w:tcPr>
          <w:p>
            <w:pPr>
              <w:pStyle w:val="SSBDataQ"/>
              <w:snapToGrid w:val="false"/>
              <w:rPr>
                <w:b/>
              </w:rPr>
            </w:pPr>
            <w:r>
              <w:rPr>
                <w:b/>
              </w:rPr>
            </w:r>
          </w:p>
        </w:tc>
        <w:tc>
          <w:tcPr>
            <w:tcW w:w="778" w:type="dxa"/>
            <w:tcBorders>
              <w:bottom w:val="single" w:sz="12" w:space="0" w:color="808080"/>
            </w:tcBorders>
          </w:tcPr>
          <w:p>
            <w:pPr>
              <w:pStyle w:val="SSBDataQ"/>
              <w:rPr/>
            </w:pPr>
            <w:r>
              <w:rPr/>
              <w:t>Previous</w:t>
            </w:r>
          </w:p>
        </w:tc>
        <w:tc>
          <w:tcPr>
            <w:tcW w:w="1008" w:type="dxa"/>
            <w:tcBorders>
              <w:bottom w:val="single" w:sz="12" w:space="0" w:color="808080"/>
            </w:tcBorders>
          </w:tcPr>
          <w:p>
            <w:pPr>
              <w:pStyle w:val="SSBDataQDecimal"/>
              <w:rPr/>
            </w:pPr>
            <w:r>
              <w:fldChar w:fldCharType="begin">
                <w:ffData>
                  <w:name w:val="TRC_Y4Q1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Q1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12" w:space="0" w:color="808080"/>
            </w:tcBorders>
          </w:tcPr>
          <w:p>
            <w:pPr>
              <w:pStyle w:val="SSBDataQDecimal"/>
              <w:rPr/>
            </w:pPr>
            <w:r>
              <w:fldChar w:fldCharType="begin">
                <w:ffData>
                  <w:name w:val="TRC_Y4Q2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Q2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12" w:space="0" w:color="808080"/>
            </w:tcBorders>
          </w:tcPr>
          <w:p>
            <w:pPr>
              <w:pStyle w:val="SSBDataQDecimal"/>
              <w:rPr/>
            </w:pPr>
            <w:r>
              <w:fldChar w:fldCharType="begin">
                <w:ffData>
                  <w:name w:val="TRC_Y4Q3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Q3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12" w:space="0" w:color="808080"/>
            </w:tcBorders>
          </w:tcPr>
          <w:p>
            <w:pPr>
              <w:pStyle w:val="SSBDataQDecimal"/>
              <w:rPr/>
            </w:pPr>
            <w:r>
              <w:fldChar w:fldCharType="begin">
                <w:ffData>
                  <w:name w:val="TRC_Y4Q4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Q4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12" w:space="0" w:color="808080"/>
            </w:tcBorders>
          </w:tcPr>
          <w:p>
            <w:pPr>
              <w:pStyle w:val="SSBDataQDecimal"/>
              <w:rPr/>
            </w:pPr>
            <w:r>
              <w:fldChar w:fldCharType="begin">
                <w:ffData>
                  <w:name w:val="TRC_Y4TOTAL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TOTAL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r>
      <w:tr>
        <w:trPr>
          <w:trHeight w:val="240" w:hRule="atLeast"/>
        </w:trPr>
        <w:tc>
          <w:tcPr>
            <w:tcW w:w="6682" w:type="dxa"/>
            <w:gridSpan w:val="7"/>
            <w:tcBorders/>
          </w:tcPr>
          <w:p>
            <w:pPr>
              <w:pStyle w:val="SSBData"/>
              <w:spacing w:lineRule="exact" w:line="220" w:before="0" w:after="60"/>
              <w:rPr/>
            </w:pPr>
            <w:r>
              <w:fldChar w:fldCharType="begin">
                <w:ffData>
                  <w:name w:val="trc_FtNote1_Text"/>
                  <w:enabled/>
                  <w:calcOnExit w:val="0"/>
                  <w:textInput/>
                </w:ffData>
              </w:fldChar>
            </w:r>
            <w:r>
              <w:rPr>
                <w:lang w:val="en-CA"/>
              </w:rPr>
              <w:instrText xml:space="preserve"> FORMTEXT </w:instrText>
            </w:r>
            <w:bookmarkStart w:id="2" w:name="trc_FtNote1_Text_Copy_1"/>
            <w:r>
              <w:rPr>
                <w:lang w:val="en-CA"/>
              </w:rPr>
            </w:r>
            <w:r>
              <w:rPr>
                <w:lang w:val="en-CA"/>
              </w:rPr>
              <w:fldChar w:fldCharType="separate"/>
            </w:r>
            <w:r>
              <w:rPr>
                <w:lang w:val="en-CA"/>
              </w:rPr>
              <w:t>First Call Consensus EPS</w:t>
            </w:r>
            <w:r>
              <w:rPr>
                <w:lang w:val="en-CA"/>
              </w:rPr>
            </w:r>
            <w:r>
              <w:rPr>
                <w:lang w:val="en-CA"/>
              </w:rPr>
              <w:fldChar w:fldCharType="end"/>
            </w:r>
            <w:bookmarkEnd w:id="2"/>
            <w:r>
              <w:rPr/>
              <w:t xml:space="preserve">: </w:t>
            </w:r>
            <w:r>
              <w:fldChar w:fldCharType="begin">
                <w:ffData>
                  <w:name w:val="trc_QDYear2_a3"/>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 xml:space="preserve"> </w:t>
            </w:r>
            <w:r>
              <w:fldChar w:fldCharType="begin">
                <w:ffData>
                  <w:name w:val="trc_Y2CONSEPS"/>
                  <w:enabled/>
                  <w:calcOnExit w:val="0"/>
                  <w:textInput/>
                </w:ffData>
              </w:fldChar>
            </w:r>
            <w:r>
              <w:rPr>
                <w:lang w:val="en-CA"/>
              </w:rPr>
              <w:instrText xml:space="preserve"> FORMTEXT </w:instrText>
            </w:r>
            <w:r>
              <w:rPr>
                <w:lang w:val="en-CA"/>
              </w:rPr>
            </w:r>
            <w:r>
              <w:rPr>
                <w:lang w:val="en-CA"/>
              </w:rPr>
              <w:fldChar w:fldCharType="separate"/>
            </w:r>
            <w:r>
              <w:rPr>
                <w:lang w:val="en-CA"/>
              </w:rPr>
              <w:t>$1.80</w:t>
            </w:r>
            <w:r>
              <w:rPr>
                <w:lang w:val="en-CA"/>
              </w:rPr>
            </w:r>
            <w:r>
              <w:rPr>
                <w:lang w:val="en-CA"/>
              </w:rPr>
              <w:fldChar w:fldCharType="end"/>
            </w:r>
            <w:r>
              <w:rPr/>
              <w:t xml:space="preserve">; </w:t>
            </w:r>
            <w:r>
              <w:fldChar w:fldCharType="begin">
                <w:ffData>
                  <w:name w:val="trc_QDYear3_a3"/>
                  <w:enabled/>
                  <w:calcOnExit w:val="0"/>
                  <w:textInput/>
                </w:ffData>
              </w:fldChar>
            </w:r>
            <w:r>
              <w:rPr>
                <w:lang w:val="en-CA"/>
              </w:rPr>
              <w:instrText xml:space="preserve"> FORMTEXT </w:instrText>
            </w:r>
            <w:r>
              <w:rPr>
                <w:lang w:val="en-CA"/>
              </w:rPr>
            </w:r>
            <w:r>
              <w:rPr>
                <w:lang w:val="en-CA"/>
              </w:rPr>
              <w:fldChar w:fldCharType="separate"/>
            </w:r>
            <w:r>
              <w:rPr>
                <w:lang w:val="en-CA"/>
              </w:rPr>
              <w:t>12/02E</w:t>
            </w:r>
            <w:r>
              <w:rPr>
                <w:lang w:val="en-CA"/>
              </w:rPr>
            </w:r>
            <w:r>
              <w:rPr>
                <w:lang w:val="en-CA"/>
              </w:rPr>
              <w:fldChar w:fldCharType="end"/>
            </w:r>
            <w:r>
              <w:rPr/>
              <w:t xml:space="preserve"> </w:t>
            </w:r>
            <w:r>
              <w:fldChar w:fldCharType="begin">
                <w:ffData>
                  <w:name w:val="trc_Y3CONSEPS"/>
                  <w:enabled/>
                  <w:calcOnExit w:val="0"/>
                  <w:textInput/>
                </w:ffData>
              </w:fldChar>
            </w:r>
            <w:r>
              <w:rPr>
                <w:lang w:val="en-CA"/>
              </w:rPr>
              <w:instrText xml:space="preserve"> FORMTEXT </w:instrText>
            </w:r>
            <w:r>
              <w:rPr>
                <w:lang w:val="en-CA"/>
              </w:rPr>
            </w:r>
            <w:r>
              <w:rPr>
                <w:lang w:val="en-CA"/>
              </w:rPr>
              <w:fldChar w:fldCharType="separate"/>
            </w:r>
            <w:r>
              <w:rPr>
                <w:lang w:val="en-CA"/>
              </w:rPr>
              <w:t>$1.97</w:t>
            </w:r>
            <w:r>
              <w:rPr>
                <w:lang w:val="en-CA"/>
              </w:rPr>
            </w:r>
            <w:r>
              <w:rPr>
                <w:lang w:val="en-CA"/>
              </w:rPr>
              <w:fldChar w:fldCharType="end"/>
            </w:r>
            <w:r>
              <w:rPr/>
              <w:t xml:space="preserve">; </w:t>
            </w:r>
            <w:r>
              <w:fldChar w:fldCharType="begin">
                <w:ffData>
                  <w:name w:val="trc_QDYear4_a3"/>
                  <w:enabled/>
                  <w:calcOnExit w:val="0"/>
                  <w:textInput/>
                </w:ffData>
              </w:fldChar>
            </w:r>
            <w:r>
              <w:rPr>
                <w:lang w:val="en-CA"/>
              </w:rPr>
              <w:instrText xml:space="preserve"> FORMTEXT </w:instrText>
            </w:r>
            <w:r>
              <w:rPr>
                <w:lang w:val="en-CA"/>
              </w:rPr>
            </w:r>
            <w:r>
              <w:rPr>
                <w:lang w:val="en-CA"/>
              </w:rPr>
              <w:fldChar w:fldCharType="separate"/>
            </w:r>
            <w:r>
              <w:rPr>
                <w:lang w:val="en-CA"/>
              </w:rPr>
              <w:t>12/03E</w:t>
            </w:r>
            <w:r>
              <w:rPr>
                <w:lang w:val="en-CA"/>
              </w:rPr>
            </w:r>
            <w:r>
              <w:rPr>
                <w:lang w:val="en-CA"/>
              </w:rPr>
              <w:fldChar w:fldCharType="end"/>
            </w:r>
            <w:r>
              <w:rPr/>
              <w:t xml:space="preserve"> </w:t>
            </w:r>
            <w:r>
              <w:fldChar w:fldCharType="begin">
                <w:ffData>
                  <w:name w:val="trc_Y4CONSEPS"/>
                  <w:enabled/>
                  <w:calcOnExit w:val="0"/>
                  <w:textInput/>
                </w:ffData>
              </w:fldChar>
            </w:r>
            <w:r>
              <w:rPr>
                <w:lang w:val="en-CA"/>
              </w:rPr>
              <w:instrText xml:space="preserve"> FORMTEXT </w:instrText>
            </w:r>
            <w:r>
              <w:rPr>
                <w:lang w:val="en-CA"/>
              </w:rPr>
            </w:r>
            <w:r>
              <w:rPr>
                <w:lang w:val="en-CA"/>
              </w:rPr>
              <w:fldChar w:fldCharType="separate"/>
            </w:r>
            <w:r>
              <w:rPr>
                <w:lang w:val="en-CA"/>
              </w:rPr>
              <w:t>NA</w:t>
            </w:r>
            <w:r>
              <w:rPr>
                <w:lang w:val="en-CA"/>
              </w:rPr>
            </w:r>
            <w:r>
              <w:rPr>
                <w:lang w:val="en-CA"/>
              </w:rPr>
              <w:fldChar w:fldCharType="end"/>
            </w:r>
            <w:r>
              <w:rPr/>
              <w:br/>
            </w:r>
            <w:r>
              <w:fldChar w:fldCharType="begin">
                <w:ffData>
                  <w:name w:val="trc_OTHER2"/>
                  <w:enabled/>
                  <w:calcOnExit w:val="0"/>
                  <w:textInput/>
                </w:ffData>
              </w:fldChar>
            </w:r>
            <w:r>
              <w:rPr>
                <w:lang w:val="en-CA"/>
              </w:rPr>
              <w:instrText xml:space="preserve"> FORMTEXT </w:instrText>
            </w:r>
            <w:r>
              <w:rPr>
                <w:lang w:val="en-CA"/>
              </w:rPr>
            </w:r>
            <w:r>
              <w:rPr>
                <w:lang w:val="en-CA"/>
              </w:rPr>
              <w:fldChar w:fldCharType="separate"/>
            </w:r>
            <w:r>
              <w:rPr>
                <w:lang w:val="en-CA"/>
              </w:rPr>
              <w:t>We are awaiting the restatement of quarterly 2000 EPS.</w:t>
            </w:r>
            <w:r/>
            <w:r>
              <w:rPr>
                <w:lang w:val="en-CA"/>
              </w:rPr>
              <w:fldChar w:fldCharType="end"/>
            </w:r>
            <w:r>
              <w:rPr>
                <w:lang w:val="en-CA"/>
              </w:rPr>
            </w:r>
          </w:p>
        </w:tc>
      </w:tr>
    </w:tbl>
    <w:p>
      <w:pPr>
        <w:pStyle w:val="SSBTableSpacerHidden"/>
        <w:rPr/>
      </w:pPr>
      <w:r>
        <w:rPr/>
      </w:r>
    </w:p>
    <w:p>
      <w:pPr>
        <w:sectPr>
          <w:type w:val="continuous"/>
          <w:pgSz w:w="12240" w:h="15840"/>
          <w:pgMar w:left="3096" w:right="1310" w:gutter="0" w:header="504" w:top="1008" w:footer="576" w:bottom="965"/>
          <w:cols w:num="2" w:equalWidth="false" w:sep="false">
            <w:col w:w="1152" w:space="0"/>
            <w:col w:w="6682"/>
          </w:cols>
          <w:formProt w:val="true"/>
          <w:titlePg/>
          <w:textDirection w:val="lrTb"/>
          <w:docGrid w:type="default" w:linePitch="360" w:charSpace="0"/>
        </w:sectPr>
      </w:pPr>
    </w:p>
    <w:p>
      <w:pPr>
        <w:pStyle w:val="SSBBodyHeading"/>
        <w:rPr/>
      </w:pPr>
      <w:r>
        <w:rPr/>
        <w:t>OPINION</w:t>
      </w:r>
    </w:p>
    <w:p>
      <w:pPr>
        <w:pStyle w:val="Normal"/>
        <w:rPr/>
      </w:pPr>
      <w:r>
        <w:rPr/>
      </w:r>
    </w:p>
    <w:p>
      <w:pPr>
        <w:pStyle w:val="SSBBodyText"/>
        <w:rPr>
          <w:rFonts w:ascii="Arial" w:hAnsi="Arial" w:cs="Arial"/>
          <w:b/>
          <w:i/>
          <w:i/>
          <w:sz w:val="24"/>
        </w:rPr>
      </w:pPr>
      <w:r>
        <w:rPr>
          <w:rFonts w:cs="Arial" w:ascii="Arial" w:hAnsi="Arial"/>
          <w:b/>
          <w:i/>
          <w:sz w:val="24"/>
        </w:rPr>
        <w:t>Enron’s Earnings Restatements and Revised Stand-Alone Forecast</w:t>
      </w:r>
    </w:p>
    <w:p>
      <w:pPr>
        <w:pStyle w:val="SSBSummary"/>
        <w:numPr>
          <w:ilvl w:val="0"/>
          <w:numId w:val="0"/>
        </w:numPr>
        <w:ind w:hanging="0" w:start="0"/>
        <w:rPr/>
      </w:pPr>
      <w:r>
        <w:rPr/>
        <w:t>Enron restated their historical income statement and balance sheet items in their November 8</w:t>
      </w:r>
      <w:r>
        <w:rPr>
          <w:vertAlign w:val="superscript"/>
        </w:rPr>
        <w:t>th</w:t>
      </w:r>
      <w:r>
        <w:rPr/>
        <w:t xml:space="preserve"> 8K, including their EPS.  Our new 2002 EPS forecast of $1.50 assumes some ongoing level of earnings attrition at Enron’s core Energy Merchant unit.  We think this could prove conservative, but await further data on Enron's ongoing performance in their energy trading &amp; marketing business.  Their 4Q guidance, expected in the next 3-4 weeks, will be key not only in establishing our 4Q outlook, but also our expectations for 2002.  Our Q4 estimate is difficult to pinpoint at this stage, but we think that it is directionally correct.</w:t>
      </w:r>
    </w:p>
    <w:p>
      <w:pPr>
        <w:pStyle w:val="SSBBodyText"/>
        <w:rPr/>
      </w:pPr>
      <w:r>
        <w:rPr/>
      </w:r>
    </w:p>
    <w:p>
      <w:pPr>
        <w:pStyle w:val="SSBBodyText"/>
        <w:rPr/>
      </w:pPr>
      <w:r>
        <w:rPr/>
      </w:r>
    </w:p>
    <w:tbl>
      <w:tblPr>
        <w:tblW w:w="7946" w:type="dxa"/>
        <w:jc w:val="start"/>
        <w:tblInd w:w="0" w:type="dxa"/>
        <w:tblLayout w:type="fixed"/>
        <w:tblCellMar>
          <w:top w:w="0" w:type="dxa"/>
          <w:start w:w="30" w:type="dxa"/>
          <w:bottom w:w="0" w:type="dxa"/>
          <w:end w:w="30" w:type="dxa"/>
        </w:tblCellMar>
      </w:tblPr>
      <w:tblGrid>
        <w:gridCol w:w="1608"/>
        <w:gridCol w:w="725"/>
        <w:gridCol w:w="725"/>
        <w:gridCol w:w="724"/>
        <w:gridCol w:w="663"/>
        <w:gridCol w:w="662"/>
        <w:gridCol w:w="725"/>
        <w:gridCol w:w="127"/>
        <w:gridCol w:w="663"/>
        <w:gridCol w:w="662"/>
        <w:gridCol w:w="662"/>
      </w:tblGrid>
      <w:tr>
        <w:trPr>
          <w:trHeight w:val="247" w:hRule="atLeast"/>
        </w:trPr>
        <w:tc>
          <w:tcPr>
            <w:tcW w:w="1608"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25"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25"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24"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63"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1Q</w:t>
            </w:r>
          </w:p>
        </w:tc>
        <w:tc>
          <w:tcPr>
            <w:tcW w:w="662"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2Q</w:t>
            </w:r>
          </w:p>
        </w:tc>
        <w:tc>
          <w:tcPr>
            <w:tcW w:w="725"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3Q</w:t>
            </w:r>
          </w:p>
        </w:tc>
        <w:tc>
          <w:tcPr>
            <w:tcW w:w="127" w:type="dxa"/>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663"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4Q</w:t>
            </w:r>
          </w:p>
        </w:tc>
        <w:tc>
          <w:tcPr>
            <w:tcW w:w="662" w:type="dxa"/>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662"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1608"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25"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1998</w:t>
            </w:r>
          </w:p>
        </w:tc>
        <w:tc>
          <w:tcPr>
            <w:tcW w:w="725"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1999</w:t>
            </w:r>
          </w:p>
        </w:tc>
        <w:tc>
          <w:tcPr>
            <w:tcW w:w="724"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2000</w:t>
            </w:r>
          </w:p>
        </w:tc>
        <w:tc>
          <w:tcPr>
            <w:tcW w:w="663"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2001</w:t>
            </w:r>
          </w:p>
        </w:tc>
        <w:tc>
          <w:tcPr>
            <w:tcW w:w="662"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2001</w:t>
            </w:r>
          </w:p>
        </w:tc>
        <w:tc>
          <w:tcPr>
            <w:tcW w:w="725"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2001</w:t>
            </w:r>
          </w:p>
        </w:tc>
        <w:tc>
          <w:tcPr>
            <w:tcW w:w="127" w:type="dxa"/>
            <w:tcBorders/>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tc>
        <w:tc>
          <w:tcPr>
            <w:tcW w:w="663"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2001E</w:t>
            </w:r>
          </w:p>
        </w:tc>
        <w:tc>
          <w:tcPr>
            <w:tcW w:w="662"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2001E</w:t>
            </w:r>
          </w:p>
        </w:tc>
        <w:tc>
          <w:tcPr>
            <w:tcW w:w="662" w:type="dxa"/>
            <w:tcBorders/>
          </w:tcPr>
          <w:p>
            <w:pPr>
              <w:pStyle w:val="Normal"/>
              <w:jc w:val="center"/>
              <w:rPr>
                <w:rFonts w:ascii="Arial" w:hAnsi="Arial" w:cs="Arial"/>
                <w:b/>
                <w:color w:val="000000"/>
                <w:sz w:val="16"/>
                <w:lang w:eastAsia="en-US"/>
              </w:rPr>
            </w:pPr>
            <w:r>
              <w:rPr>
                <w:rFonts w:cs="Arial" w:ascii="Arial" w:hAnsi="Arial"/>
                <w:b/>
                <w:color w:val="000000"/>
                <w:sz w:val="16"/>
                <w:lang w:eastAsia="en-US"/>
              </w:rPr>
              <w:t>2002E</w:t>
            </w:r>
          </w:p>
        </w:tc>
      </w:tr>
      <w:tr>
        <w:trPr>
          <w:trHeight w:val="115" w:hRule="atLeast"/>
        </w:trPr>
        <w:tc>
          <w:tcPr>
            <w:tcW w:w="1608" w:type="dxa"/>
            <w:tcBorders/>
          </w:tcPr>
          <w:p>
            <w:pPr>
              <w:pStyle w:val="Normal"/>
              <w:snapToGrid w:val="false"/>
              <w:jc w:val="end"/>
              <w:rPr>
                <w:rFonts w:ascii="Arial" w:hAnsi="Arial" w:cs="Arial"/>
                <w:b/>
                <w:color w:val="000000"/>
                <w:sz w:val="16"/>
                <w:lang w:eastAsia="en-US"/>
              </w:rPr>
            </w:pPr>
            <w:r>
              <w:rPr>
                <w:rFonts w:cs="Arial" w:ascii="Arial" w:hAnsi="Arial"/>
                <w:b/>
                <w:color w:val="000000"/>
                <w:sz w:val="16"/>
                <w:lang w:eastAsia="en-US"/>
              </w:rPr>
            </w:r>
          </w:p>
        </w:tc>
        <w:tc>
          <w:tcPr>
            <w:tcW w:w="725"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25"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24"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63"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62"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725"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127"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63"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62"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62"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1608" w:type="dxa"/>
            <w:tcBorders/>
          </w:tcPr>
          <w:p>
            <w:pPr>
              <w:pStyle w:val="Normal"/>
              <w:rPr>
                <w:rFonts w:ascii="Arial" w:hAnsi="Arial" w:cs="Arial"/>
                <w:b/>
                <w:color w:val="000000"/>
                <w:sz w:val="16"/>
                <w:lang w:eastAsia="en-US"/>
              </w:rPr>
            </w:pPr>
            <w:r>
              <w:rPr>
                <w:rFonts w:cs="Arial" w:ascii="Arial" w:hAnsi="Arial"/>
                <w:b/>
                <w:color w:val="000000"/>
                <w:sz w:val="16"/>
                <w:lang w:eastAsia="en-US"/>
              </w:rPr>
              <w:t xml:space="preserve">Recurring Dil EPS </w:t>
            </w:r>
          </w:p>
        </w:tc>
        <w:tc>
          <w:tcPr>
            <w:tcW w:w="725" w:type="dxa"/>
            <w:tcBorders>
              <w:top w:val="single" w:sz="6" w:space="0" w:color="000000"/>
              <w:start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1.00 </w:t>
            </w:r>
          </w:p>
        </w:tc>
        <w:tc>
          <w:tcPr>
            <w:tcW w:w="725" w:type="dxa"/>
            <w:tcBorders>
              <w:top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1.18 </w:t>
            </w:r>
          </w:p>
        </w:tc>
        <w:tc>
          <w:tcPr>
            <w:tcW w:w="724" w:type="dxa"/>
            <w:tcBorders>
              <w:top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1.47 </w:t>
            </w:r>
          </w:p>
        </w:tc>
        <w:tc>
          <w:tcPr>
            <w:tcW w:w="663" w:type="dxa"/>
            <w:tcBorders>
              <w:top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$ 0.47 </w:t>
            </w:r>
          </w:p>
        </w:tc>
        <w:tc>
          <w:tcPr>
            <w:tcW w:w="662" w:type="dxa"/>
            <w:tcBorders>
              <w:top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$ 0.45 </w:t>
            </w:r>
          </w:p>
        </w:tc>
        <w:tc>
          <w:tcPr>
            <w:tcW w:w="725" w:type="dxa"/>
            <w:tcBorders>
              <w:top w:val="single" w:sz="6" w:space="0" w:color="000000"/>
              <w:end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0.43 </w:t>
            </w:r>
          </w:p>
        </w:tc>
        <w:tc>
          <w:tcPr>
            <w:tcW w:w="127"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63" w:type="dxa"/>
            <w:tcBorders>
              <w:top w:val="single" w:sz="6" w:space="0" w:color="000000"/>
              <w:start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62" w:type="dxa"/>
            <w:tcBorders>
              <w:top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62" w:type="dxa"/>
            <w:tcBorders>
              <w:top w:val="single" w:sz="6" w:space="0" w:color="000000"/>
              <w:end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1608" w:type="dxa"/>
            <w:tcBorders/>
          </w:tcPr>
          <w:p>
            <w:pPr>
              <w:pStyle w:val="Normal"/>
              <w:rPr>
                <w:rFonts w:ascii="Arial" w:hAnsi="Arial" w:cs="Arial"/>
                <w:b/>
                <w:color w:val="000000"/>
                <w:sz w:val="16"/>
                <w:lang w:eastAsia="en-US"/>
              </w:rPr>
            </w:pPr>
            <w:r>
              <w:rPr>
                <w:rFonts w:cs="Arial" w:ascii="Arial" w:hAnsi="Arial"/>
                <w:b/>
                <w:color w:val="000000"/>
                <w:sz w:val="16"/>
                <w:lang w:eastAsia="en-US"/>
              </w:rPr>
              <w:t>Revision</w:t>
            </w:r>
          </w:p>
        </w:tc>
        <w:tc>
          <w:tcPr>
            <w:tcW w:w="725" w:type="dxa"/>
            <w:tcBorders>
              <w:start w:val="single" w:sz="6" w:space="0" w:color="000000"/>
              <w:bottom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(0.15)</w:t>
            </w:r>
          </w:p>
        </w:tc>
        <w:tc>
          <w:tcPr>
            <w:tcW w:w="725" w:type="dxa"/>
            <w:tcBorders>
              <w:bottom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(0.31)</w:t>
            </w:r>
          </w:p>
        </w:tc>
        <w:tc>
          <w:tcPr>
            <w:tcW w:w="724" w:type="dxa"/>
            <w:tcBorders>
              <w:bottom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(0.14)</w:t>
            </w:r>
          </w:p>
        </w:tc>
        <w:tc>
          <w:tcPr>
            <w:tcW w:w="663" w:type="dxa"/>
            <w:tcBorders>
              <w:bottom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$ 0.02 </w:t>
            </w:r>
          </w:p>
        </w:tc>
        <w:tc>
          <w:tcPr>
            <w:tcW w:w="662" w:type="dxa"/>
            <w:tcBorders>
              <w:bottom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$ 0.01 </w:t>
            </w:r>
          </w:p>
        </w:tc>
        <w:tc>
          <w:tcPr>
            <w:tcW w:w="725" w:type="dxa"/>
            <w:tcBorders>
              <w:bottom w:val="single" w:sz="6" w:space="0" w:color="000000"/>
              <w:end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(0.02)</w:t>
            </w:r>
          </w:p>
        </w:tc>
        <w:tc>
          <w:tcPr>
            <w:tcW w:w="127"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63" w:type="dxa"/>
            <w:tcBorders>
              <w:start w:val="single" w:sz="6" w:space="0" w:color="000000"/>
              <w:bottom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62" w:type="dxa"/>
            <w:tcBorders>
              <w:bottom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62" w:type="dxa"/>
            <w:tcBorders>
              <w:bottom w:val="single" w:sz="6" w:space="0" w:color="000000"/>
              <w:end w:val="single" w:sz="6" w:space="0" w:color="000000"/>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r>
      <w:tr>
        <w:trPr>
          <w:trHeight w:val="247" w:hRule="atLeast"/>
        </w:trPr>
        <w:tc>
          <w:tcPr>
            <w:tcW w:w="1608" w:type="dxa"/>
            <w:tcBorders/>
          </w:tcPr>
          <w:p>
            <w:pPr>
              <w:pStyle w:val="Normal"/>
              <w:rPr>
                <w:rFonts w:ascii="Arial" w:hAnsi="Arial" w:cs="Arial"/>
                <w:b/>
                <w:color w:val="000000"/>
                <w:sz w:val="16"/>
                <w:lang w:eastAsia="en-US"/>
              </w:rPr>
            </w:pPr>
            <w:r>
              <w:rPr>
                <w:rFonts w:cs="Arial" w:ascii="Arial" w:hAnsi="Arial"/>
                <w:b/>
                <w:color w:val="000000"/>
                <w:sz w:val="16"/>
                <w:lang w:eastAsia="en-US"/>
              </w:rPr>
              <w:t>Revised Dil EPS</w:t>
            </w:r>
          </w:p>
        </w:tc>
        <w:tc>
          <w:tcPr>
            <w:tcW w:w="725" w:type="dxa"/>
            <w:tcBorders>
              <w:start w:val="single" w:sz="6" w:space="0" w:color="000000"/>
              <w:bottom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0.85 </w:t>
            </w:r>
          </w:p>
        </w:tc>
        <w:tc>
          <w:tcPr>
            <w:tcW w:w="725" w:type="dxa"/>
            <w:tcBorders>
              <w:bottom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0.87 </w:t>
            </w:r>
          </w:p>
        </w:tc>
        <w:tc>
          <w:tcPr>
            <w:tcW w:w="724" w:type="dxa"/>
            <w:tcBorders>
              <w:bottom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1.33 </w:t>
            </w:r>
          </w:p>
        </w:tc>
        <w:tc>
          <w:tcPr>
            <w:tcW w:w="663" w:type="dxa"/>
            <w:tcBorders>
              <w:bottom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$ 0.49 </w:t>
            </w:r>
          </w:p>
        </w:tc>
        <w:tc>
          <w:tcPr>
            <w:tcW w:w="662" w:type="dxa"/>
            <w:tcBorders>
              <w:bottom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$ 0.46 </w:t>
            </w:r>
          </w:p>
        </w:tc>
        <w:tc>
          <w:tcPr>
            <w:tcW w:w="725" w:type="dxa"/>
            <w:tcBorders>
              <w:bottom w:val="single" w:sz="6" w:space="0" w:color="000000"/>
              <w:end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0.41 </w:t>
            </w:r>
          </w:p>
        </w:tc>
        <w:tc>
          <w:tcPr>
            <w:tcW w:w="127" w:type="dxa"/>
            <w:tcBorders/>
          </w:tcPr>
          <w:p>
            <w:pPr>
              <w:pStyle w:val="Normal"/>
              <w:snapToGrid w:val="false"/>
              <w:jc w:val="end"/>
              <w:rPr>
                <w:rFonts w:ascii="Arial" w:hAnsi="Arial" w:cs="Arial"/>
                <w:color w:val="000000"/>
                <w:sz w:val="16"/>
                <w:lang w:eastAsia="en-US"/>
              </w:rPr>
            </w:pPr>
            <w:r>
              <w:rPr>
                <w:rFonts w:cs="Arial" w:ascii="Arial" w:hAnsi="Arial"/>
                <w:color w:val="000000"/>
                <w:sz w:val="16"/>
                <w:lang w:eastAsia="en-US"/>
              </w:rPr>
            </w:r>
          </w:p>
        </w:tc>
        <w:tc>
          <w:tcPr>
            <w:tcW w:w="663" w:type="dxa"/>
            <w:tcBorders>
              <w:start w:val="single" w:sz="6" w:space="0" w:color="000000"/>
              <w:bottom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$ 0.36 </w:t>
            </w:r>
          </w:p>
        </w:tc>
        <w:tc>
          <w:tcPr>
            <w:tcW w:w="662" w:type="dxa"/>
            <w:tcBorders>
              <w:bottom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$ 1.72 </w:t>
            </w:r>
          </w:p>
        </w:tc>
        <w:tc>
          <w:tcPr>
            <w:tcW w:w="662" w:type="dxa"/>
            <w:tcBorders>
              <w:bottom w:val="single" w:sz="6" w:space="0" w:color="000000"/>
              <w:end w:val="single" w:sz="6" w:space="0" w:color="000000"/>
            </w:tcBorders>
          </w:tcPr>
          <w:p>
            <w:pPr>
              <w:pStyle w:val="Normal"/>
              <w:jc w:val="end"/>
              <w:rPr>
                <w:rFonts w:ascii="Arial" w:hAnsi="Arial" w:cs="Arial"/>
                <w:color w:val="000000"/>
                <w:sz w:val="16"/>
                <w:lang w:eastAsia="en-US"/>
              </w:rPr>
            </w:pPr>
            <w:r>
              <w:rPr>
                <w:rFonts w:eastAsia="Arial" w:cs="Arial" w:ascii="Arial" w:hAnsi="Arial"/>
                <w:color w:val="000000"/>
                <w:sz w:val="16"/>
                <w:lang w:eastAsia="en-US"/>
              </w:rPr>
              <w:t xml:space="preserve"> </w:t>
            </w:r>
            <w:r>
              <w:rPr>
                <w:rFonts w:cs="Arial" w:ascii="Arial" w:hAnsi="Arial"/>
                <w:color w:val="000000"/>
                <w:sz w:val="16"/>
                <w:lang w:eastAsia="en-US"/>
              </w:rPr>
              <w:t xml:space="preserve">$ 1.50 </w:t>
            </w:r>
          </w:p>
        </w:tc>
      </w:tr>
    </w:tbl>
    <w:p>
      <w:pPr>
        <w:pStyle w:val="SSBBodyText"/>
        <w:spacing w:lineRule="auto" w:line="240"/>
        <w:rPr>
          <w:sz w:val="16"/>
          <w:lang w:eastAsia="en-US"/>
        </w:rPr>
      </w:pPr>
      <w:r>
        <w:rPr>
          <w:sz w:val="16"/>
          <w:lang w:eastAsia="en-US"/>
        </w:rPr>
        <w:t>Source: Co. reports and SSB.</w:t>
      </w:r>
    </w:p>
    <w:p>
      <w:pPr>
        <w:pStyle w:val="Heading2"/>
        <w:ind w:hanging="0" w:start="0"/>
        <w:rPr/>
      </w:pPr>
      <w:r>
        <w:rPr/>
        <w:t>Factors that Drive the Arbitrage Spread Between Enron and Dynegy</w:t>
      </w:r>
    </w:p>
    <w:p>
      <w:pPr>
        <w:pStyle w:val="SSBBodyText"/>
        <w:rPr/>
      </w:pPr>
      <w:r>
        <w:rPr/>
        <w:t xml:space="preserve">Pending the merger, we expect Enron’s stock price to be correlated with Dynegy (DYN#-1H $46), which offered 0.2685 Dynegy shares per Enron share to Enron shareholders in their recently announced merger proposal.  At today’s closing prices, Enron is now trading at a 20% discount to the implied offering price of $12.40, given the fixed exchange ratio.  We expect this spread to narrow over time as three major uncertainties are addressed:  </w:t>
      </w:r>
    </w:p>
    <w:p>
      <w:pPr>
        <w:pStyle w:val="SSBBodyText"/>
        <w:rPr/>
      </w:pPr>
      <w:r>
        <w:rPr/>
        <w:t xml:space="preserve">1) We will watch for further disclosures regarding accounting practices, or indications, such as from the SEC, that all isues are completed.  While the company has gone a long way towards this end with their 8K and subsequent conference calls, uncertainty still remains.  </w:t>
      </w:r>
    </w:p>
    <w:p>
      <w:pPr>
        <w:pStyle w:val="SSBBodyText"/>
        <w:rPr/>
      </w:pPr>
      <w:r>
        <w:rPr/>
        <w:t xml:space="preserve">2) We will seek clarity as to Enron’s ongoing earnings power and stand-alone value.  There is a great deal of uncertainty surrounding Enron’s operational and earnings outlook as a stand-alone entity, and we expect more clarity in the next 3-4 weeks.  </w:t>
      </w:r>
    </w:p>
    <w:p>
      <w:pPr>
        <w:pStyle w:val="SSBBodyText"/>
        <w:rPr/>
      </w:pPr>
      <w:r>
        <w:rPr/>
        <w:t>3) At this early stage, it is uncertain how long the merger approval process will take or what issues may arise.  As time moves on and we gain clarity on the length and difficulties of the approval process, we expect the spread to narrow.</w:t>
      </w:r>
    </w:p>
    <w:p>
      <w:pPr>
        <w:pStyle w:val="SSBBodyText"/>
        <w:rPr/>
      </w:pPr>
      <w:r>
        <w:rPr/>
        <w:t>Clarity with regard to any of these uncertainties should cause the spread to narrow and ENE to trade closer to their implied merger value.</w:t>
      </w:r>
    </w:p>
    <w:p>
      <w:pPr>
        <w:sectPr>
          <w:type w:val="continuous"/>
          <w:pgSz w:w="12240" w:h="15840"/>
          <w:pgMar w:left="3096" w:right="1310" w:gutter="0" w:header="504" w:top="1008" w:footer="576" w:bottom="965"/>
          <w:formProt w:val="false"/>
          <w:titlePg/>
          <w:textDirection w:val="lrTb"/>
          <w:docGrid w:type="default" w:linePitch="360" w:charSpace="0"/>
        </w:sectPr>
      </w:pPr>
    </w:p>
    <w:p>
      <w:pPr>
        <w:pStyle w:val="SSBDisclaimerFirstCall"/>
        <w:rPr/>
      </w:pPr>
      <w:bookmarkStart w:id="3" w:name="SSB_ReusableText"/>
      <w:bookmarkStart w:id="4" w:name="SSB_Insert"/>
      <w:bookmarkEnd w:id="3"/>
      <w:bookmarkEnd w:id="4"/>
      <w:r>
        <w:rPr/>
        <w:t>ADDITIONAL INFORMATION AVAILABLE UPON REQUEST</w:t>
      </w:r>
    </w:p>
    <w:p>
      <w:pPr>
        <w:pStyle w:val="SSBDisclaimerFirstCall"/>
        <w:rPr>
          <w:lang w:eastAsia="en-CA"/>
        </w:rPr>
      </w:pPr>
      <w:r>
        <w:fldChar w:fldCharType="begin">
          <w:ffData>
            <w:name w:val="trc_Hedge_A"/>
            <w:enabled/>
            <w:calcOnExit w:val="0"/>
            <w:textInput/>
          </w:ffData>
        </w:fldChar>
      </w:r>
      <w:r>
        <w:rPr>
          <w:lang w:eastAsia="en-CA"/>
        </w:rPr>
        <w:instrText xml:space="preserve"> FORMTEXT </w:instrText>
      </w:r>
      <w:r>
        <w:rPr>
          <w:lang w:eastAsia="en-CA"/>
        </w:rPr>
      </w:r>
      <w:r>
        <w:rPr>
          <w:lang w:eastAsia="en-CA"/>
        </w:rPr>
        <w:fldChar w:fldCharType="separate"/>
      </w:r>
      <w:r>
        <w:t># Within the past three years, Salomon Smith Barney, including its parent, subsidiaries and/or affiliates, has acted as manager or co-manager of a public offering of the securities of this company.</w:t>
      </w:r>
      <w:r>
        <w:rPr>
          <w:lang w:eastAsia="en-CA"/>
        </w:rPr>
      </w:r>
    </w:p>
    <w:p>
      <w:pPr>
        <w:pStyle w:val="SSBDisclaimerFirstCall"/>
        <w:rPr/>
      </w:pPr>
      <w:r>
        <w:rPr>
          <w:lang w:eastAsia="en-CA"/>
        </w:rPr>
      </w:r>
      <w:r>
        <w:rPr>
          <w:lang w:eastAsia="en-CA"/>
        </w:rPr>
        <w:fldChar w:fldCharType="end"/>
      </w:r>
      <w:r>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(c) Salomon Smith Barney Inc., </w:t>
      </w:r>
      <w:r>
        <w:rPr/>
        <w:fldChar w:fldCharType="begin"/>
      </w:r>
      <w:r>
        <w:rPr/>
        <w:instrText xml:space="preserve"> DATE \@"yyyy" </w:instrText>
      </w:r>
      <w:r>
        <w:rPr/>
        <w:fldChar w:fldCharType="separate"/>
      </w:r>
      <w:r>
        <w:rPr/>
        <w:t>2025</w:t>
      </w:r>
      <w:r>
        <w:rPr/>
        <w:fldChar w:fldCharType="end"/>
      </w:r>
      <w:r>
        <w:rPr/>
        <w:t>.  All rights reserved.  Any unauthorized use, duplication or disclosure is prohibited by law and may result in prosecution.  Please refer to ticker SSBDISCL for important Salomon Smith Barney Disclaimer information.</w:t>
      </w:r>
    </w:p>
    <w:p>
      <w:pPr>
        <w:pStyle w:val="SSBDisclaimer"/>
        <w:rPr/>
      </w:pPr>
      <w:r>
        <w:rPr/>
        <w:t>ADDITIONAL INFORMATION AVAILABLE UPON REQUEST</w:t>
      </w:r>
    </w:p>
    <w:p>
      <w:pPr>
        <w:pStyle w:val="SSBDisclaimer"/>
        <w:rPr>
          <w:lang w:eastAsia="en-CA"/>
        </w:rPr>
      </w:pPr>
      <w:r>
        <w:fldChar w:fldCharType="begin">
          <w:ffData>
            <w:name w:val="TRC_HEDGE"/>
            <w:enabled/>
            <w:calcOnExit w:val="0"/>
            <w:textInput/>
          </w:ffData>
        </w:fldChar>
      </w:r>
      <w:r>
        <w:rPr>
          <w:lang w:eastAsia="en-CA"/>
        </w:rPr>
        <w:instrText xml:space="preserve"> FORMTEXT </w:instrText>
      </w:r>
      <w:r>
        <w:rPr>
          <w:lang w:eastAsia="en-CA"/>
        </w:rPr>
      </w:r>
      <w:r>
        <w:rPr>
          <w:lang w:eastAsia="en-CA"/>
        </w:rPr>
        <w:fldChar w:fldCharType="separate"/>
      </w:r>
      <w:r>
        <w:t># Within the past three years, Salomon Smith Barney, including its parent, subsidiaries and/or affiliates, has acted as manager or co-manager of a public offering of the securities of this company.</w:t>
      </w:r>
      <w:r>
        <w:rPr>
          <w:lang w:eastAsia="en-CA"/>
        </w:rPr>
      </w:r>
    </w:p>
    <w:p>
      <w:pPr>
        <w:pStyle w:val="SSBDisclaimer"/>
        <w:rPr>
          <w:sz w:val="14"/>
        </w:rPr>
      </w:pPr>
      <w:r>
        <w:rPr>
          <w:lang w:eastAsia="en-CA"/>
        </w:rPr>
      </w:r>
      <w:r>
        <w:rPr>
          <w:lang w:eastAsia="en-CA"/>
        </w:rPr>
        <w:fldChar w:fldCharType="end"/>
      </w:r>
      <w:r>
        <w:rPr/>
        <w:t>Salomon Smith Barney ("SSB"), including its parent, subsidiaries and/or affiliates ("the Firm"), usually makes a market in the U.S.-traded over the counter securities recommended in this report and may sell to or buy from customers, as principal, securities recommended in this report.  The Firm or employees preparing this report may have a position in securities or options of any company recommended in this report.  An employee of the Firm may be a director of a company recommended in this report. The Firm may perform or solicit investment banking or other services from any company recommended in this report.</w:t>
      </w:r>
    </w:p>
    <w:p>
      <w:pPr>
        <w:pStyle w:val="SSBDisclaimer"/>
        <w:rPr>
          <w:sz w:val="14"/>
        </w:rPr>
      </w:pPr>
      <w:r>
        <w:rPr>
          <w:sz w:val="14"/>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Although information has been obtained from and is based upon sources SSB believes to be reliable, we do not guarantee its accuracy and it may be incomplete or condensed.  All opinions and estimates constitute SSB's judgment as of the date of the report and are subject to change without notice.  This report is for informational purposes only and is not intended as an offer or solicitation for the purchase or sale of a security.  Investing in non-U.S. securities, including ADRs, by U.S. persons may entail certain risks.  Investors who have received this report may be prohibited in certain U.S. states from purchasing securities mentioned in this report from SSB.  Please ask your financial consultant for additional details.  This report has been approved for distribution in the United Kingdom by Salomon Brothers International Limited, which is regulated by the Securities and Futures Authority.  The investments and services contained herein are not available to private customers in the UK and South Africa.  This report was prepared by SSB and, if distributed in Japan by Nikko Salomon Smith Barney Limited, is being so distributed under license.  This report is made available in Australia through Salomon Smith Barney Australia Securities Pty Ltd. (ABN 64 003 114 832), a Licensed Securities Dealer, and in New Zealand through Salomon Smith Barney New Zealand Limited, a member firm of the New Zealand Stock Exchange.  This report does not take into account the investment objectives or financial situation of any particular person.  Investors should obtain advice based on their own individual circumstances before making an investment decision.  Salomon Smith Barney Securities (Proprietary) Limited is incorporated in the Republic of South Africa (company registration number 2000/025866/07) and its registered office is at Grosvenor Corner, 195 Jan Smuts Avenue, Rosebank, 2198, Republic of South Africa.  Salomon Smith Barney is a service mark of Salomon Smith Barney Inc.  </w:t>
      </w:r>
    </w:p>
    <w:p>
      <w:pPr>
        <w:pStyle w:val="SSBDisclaimer"/>
        <w:rPr/>
      </w:pPr>
      <w:r>
        <w:rPr>
          <w:sz w:val="14"/>
        </w:rPr>
        <w:t xml:space="preserve">© Salomon Smith Barney Inc., </w:t>
      </w:r>
      <w:r>
        <w:rPr>
          <w:sz w:val="14"/>
        </w:rPr>
        <w:fldChar w:fldCharType="begin"/>
      </w:r>
      <w:r>
        <w:rPr>
          <w:sz w:val="14"/>
        </w:rPr>
        <w:instrText xml:space="preserve"> DATE \@"yyyy" </w:instrText>
      </w:r>
      <w:r>
        <w:rPr>
          <w:sz w:val="14"/>
        </w:rPr>
        <w:fldChar w:fldCharType="separate"/>
      </w:r>
      <w:r>
        <w:rPr>
          <w:sz w:val="14"/>
        </w:rPr>
        <w:t>2025</w:t>
      </w:r>
      <w:r>
        <w:rPr>
          <w:sz w:val="14"/>
        </w:rPr>
        <w:fldChar w:fldCharType="end"/>
      </w:r>
      <w:r>
        <w:rPr>
          <w:sz w:val="14"/>
        </w:rPr>
        <w:t>.  All rights reserved.  Any unauthorized use, duplication or disclosure is prohibited by law and may result in prosecution.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continuous"/>
      <w:pgSz w:w="12240" w:h="15840"/>
      <w:pgMar w:left="3096" w:right="1310" w:gutter="0" w:header="504" w:top="1008" w:footer="576" w:bottom="965"/>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ZapfDingbats">
    <w:charset w:val="00" w:characterSet="windows-1252"/>
    <w:family w:val="decorative"/>
    <w:pitch w:val="variable"/>
  </w:font>
  <w:font w:name="Helvetica-Black">
    <w:charset w:val="00" w:characterSet="windows-1252"/>
    <w:family w:val="swiss"/>
    <w:pitch w:val="variable"/>
  </w:font>
  <w:font w:name="HelveticaNeue Condensed">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8" w:space="1" w:color="000000"/>
      </w:pBdr>
      <w:rPr/>
    </w:pPr>
    <w:r>
      <w:rPr/>
      <w:tab/>
      <w:tab/>
    </w:r>
    <w:r>
      <w:rPr/>
      <w:fldChar w:fldCharType="begin"/>
    </w:r>
    <w:r>
      <w:rPr/>
      <w:instrText xml:space="preserve"> PAGE </w:instrText>
    </w:r>
    <w:r>
      <w:rPr/>
      <w:fldChar w:fldCharType="separate"/>
    </w:r>
    <w:r>
      <w:rPr/>
      <w:t>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lang w:val="en-CA"/>
      </w:rPr>
      <w:drawing>
        <wp:inline distT="0" distB="0" distL="0" distR="0">
          <wp:extent cx="1191895" cy="1524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0" t="-236" r="-30" b="-236"/>
                  <a:stretch>
                    <a:fillRect/>
                  </a:stretch>
                </pic:blipFill>
                <pic:spPr bwMode="auto">
                  <a:xfrm>
                    <a:off x="0" y="0"/>
                    <a:ext cx="1191895" cy="152400"/>
                  </a:xfrm>
                  <a:prstGeom prst="rect">
                    <a:avLst/>
                  </a:prstGeom>
                  <a:noFill/>
                </pic:spPr>
              </pic:pic>
            </a:graphicData>
          </a:graphic>
        </wp:inline>
      </w:drawing>
    </w:r>
  </w:p>
  <w:p>
    <w:pPr>
      <w:pStyle w:val="SSBLogo1st"/>
      <w:rPr/>
    </w:pPr>
    <w:r>
      <w:rPr/>
      <w:drawing>
        <wp:inline distT="0" distB="0" distL="0" distR="0">
          <wp:extent cx="2972435" cy="29527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2" t="-122" r="-12" b="-122"/>
                  <a:stretch>
                    <a:fillRect/>
                  </a:stretch>
                </pic:blipFill>
                <pic:spPr bwMode="auto">
                  <a:xfrm>
                    <a:off x="0" y="0"/>
                    <a:ext cx="2972435" cy="295275"/>
                  </a:xfrm>
                  <a:prstGeom prst="rect">
                    <a:avLst/>
                  </a:prstGeom>
                  <a:noFill/>
                </pic:spPr>
              </pic:pic>
            </a:graphicData>
          </a:graphic>
        </wp:inline>
      </w:drawing>
    </w:r>
    <w:r>
      <mc:AlternateContent>
        <mc:Choice Requires="wps">
          <w:drawing>
            <wp:anchor behindDoc="0" distT="0" distB="0" distL="0" distR="0" simplePos="0" locked="0" layoutInCell="0" allowOverlap="1" relativeHeight="4">
              <wp:simplePos x="0" y="0"/>
              <wp:positionH relativeFrom="page">
                <wp:align>right</wp:align>
              </wp:positionH>
              <wp:positionV relativeFrom="page">
                <wp:posOffset>1463675</wp:posOffset>
              </wp:positionV>
              <wp:extent cx="1677670" cy="457200"/>
              <wp:effectExtent l="0" t="0" r="0" b="0"/>
              <wp:wrapSquare wrapText="bothSides"/>
              <wp:docPr id="4" name="Frame1"/>
              <a:graphic xmlns:a="http://schemas.openxmlformats.org/drawingml/2006/main">
                <a:graphicData uri="http://schemas.microsoft.com/office/word/2010/wordprocessingShape">
                  <wps:wsp>
                    <wps:cNvSpPr txBox="1"/>
                    <wps:spPr>
                      <a:xfrm>
                        <a:off x="0" y="0"/>
                        <a:ext cx="1677670" cy="457200"/>
                      </a:xfrm>
                      <a:prstGeom prst="rect"/>
                      <a:solidFill>
                        <a:srgbClr val="FFFFFF">
                          <a:alpha val="0"/>
                        </a:srgbClr>
                      </a:solidFill>
                    </wps:spPr>
                    <wps:txbx>
                      <w:txbxContent>
                        <w:p>
                          <w:pPr>
                            <w:pStyle w:val="SSBRegion"/>
                            <w:spacing w:lineRule="exact" w:line="480" w:before="240" w:after="0"/>
                            <w:jc w:val="end"/>
                            <w:rPr/>
                          </w:pPr>
                          <w:r>
                            <w:rPr/>
                            <w:t>United States</w:t>
                          </w:r>
                        </w:p>
                      </w:txbxContent>
                    </wps:txbx>
                    <wps:bodyPr anchor="t" lIns="0" tIns="0" rIns="0" bIns="0">
                      <a:noAutofit/>
                    </wps:bodyPr>
                  </wps:wsp>
                </a:graphicData>
              </a:graphic>
            </wp:anchor>
          </w:drawing>
        </mc:Choice>
        <mc:Fallback>
          <w:pict>
            <v:rect fillcolor="#FFFFFF" style="position:absolute;rotation:-0;width:132.1pt;height:36pt;mso-wrap-distance-left:0pt;mso-wrap-distance-right:0pt;mso-wrap-distance-top:0pt;mso-wrap-distance-bottom:0pt;margin-top:115.25pt;mso-position-vertical-relative:page;margin-left:479.85pt;mso-position-horizontal:right;mso-position-horizontal-relative:page">
              <v:fill opacity="0f"/>
              <v:textbox inset="0in,0in,0in,0in">
                <w:txbxContent>
                  <w:p>
                    <w:pPr>
                      <w:pStyle w:val="SSBRegion"/>
                      <w:spacing w:lineRule="exact" w:line="480" w:before="240" w:after="0"/>
                      <w:jc w:val="end"/>
                      <w:rPr/>
                    </w:pPr>
                    <w:r>
                      <w:rPr/>
                      <w:t>United States</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drawing>
        <wp:inline distT="0" distB="0" distL="0" distR="0">
          <wp:extent cx="1534160" cy="1524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rcRect l="-23" t="-236" r="-23" b="-236"/>
                  <a:stretch>
                    <a:fillRect/>
                  </a:stretch>
                </pic:blipFill>
                <pic:spPr bwMode="auto">
                  <a:xfrm>
                    <a:off x="0" y="0"/>
                    <a:ext cx="1534160" cy="1524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SBChange"/>
      <w:rPr/>
    </w:pPr>
    <w:r>
      <w:rPr/>
      <w:t xml:space="preserve">Estimate Change </w:t>
    </w:r>
    <w:r>
      <w:rPr>
        <w:rStyle w:val="SSBChangeCheckBox"/>
        <w:rFonts w:eastAsia="Wingdings"/>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ZapfDingbats" w:hAnsi="ZapfDingbats" w:cs="ZapfDingbats" w:hint="default"/>
        <w:sz w:val="20"/>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NEXTERATemplateVersion" w:val="1.0"/>
    <w:docVar w:name="NEXTERAUpdated" w:val="9/20/99"/>
    <w:docVar w:name="trc_ActualMoQD" w:val="Sep 2001"/>
    <w:docVar w:name="trc_AnalystEmail1" w:val="ray.niles@ssmb.com"/>
    <w:docVar w:name="trc_AnalystEmail2" w:val="benjamin.morton@ssmb.com"/>
    <w:docVar w:name="trc_AnalystEmail3" w:val="brian.t.taddeo@ssmb.com"/>
    <w:docVar w:name="trc_AnalystID" w:val="rn95785"/>
    <w:docVar w:name="trc_AnalystID_Sec1" w:val="bm58212"/>
    <w:docVar w:name="trc_AnalystID_Sec2" w:val="bt76018"/>
    <w:docVar w:name="trc_AnalystName1" w:val="Raymond Niles"/>
    <w:docVar w:name="trc_AnalystName2" w:val="Benjamin Morton"/>
    <w:docVar w:name="trc_AnalystName3" w:val="Brian Taddeo"/>
    <w:docVar w:name="trc_AnalystPhone1" w:val="+1-212-816-2807"/>
    <w:docVar w:name="trc_AnalystPhone2" w:val="+1-212-816-2086"/>
    <w:docVar w:name="trc_AnalystPhone3" w:val="+1-212-806-5013"/>
    <w:docVar w:name="trc_blastvm" w:val="False"/>
    <w:docVar w:name="trc_CalYear1" w:val="NULL"/>
    <w:docVar w:name="trc_CalYear2" w:val="NULL"/>
    <w:docVar w:name="trc_CalYear3" w:val="NULL"/>
    <w:docVar w:name="trc_CalYear4" w:val="NULL"/>
    <w:docVar w:name="trc_comments" w:val="Please reference on am call."/>
    <w:docVar w:name="trc_companyname" w:val="Enron Corporation"/>
    <w:docVar w:name="trc_CONVERTIBLE" w:val="No"/>
    <w:docVar w:name="trc_CurFY" w:val="2001"/>
    <w:docVar w:name="trc_CurrentPrice" w:val="9.98"/>
    <w:docVar w:name="trc_CurrentPrice_P" w:val="9.98"/>
    <w:docVar w:name="trc_DateOfSubmission" w:val="11/14/01 6:15:17 PM"/>
    <w:docVar w:name="trc_Description" w:val="NA"/>
    <w:docVar w:name="trc_DOC_NOTE_ProtectDate" w:val="11/14/2001 4:38:47 PM"/>
    <w:docVar w:name="trc_DocID" w:val="58682"/>
    <w:docVar w:name="trc_DocumentType" w:val="2"/>
    <w:docVar w:name="trc_EPSGR" w:val="0.23"/>
    <w:docVar w:name="trc_EPSGR_P" w:val="0.23"/>
    <w:docVar w:name="trc_FDYear2" w:val="12/01E"/>
    <w:docVar w:name="trc_FDYear3" w:val="12/02E"/>
    <w:docVar w:name="trc_FromWorkFlow" w:val="False"/>
    <w:docVar w:name="trc_FT12" w:val="NULL"/>
    <w:docVar w:name="trc_FT13" w:val="NULL"/>
    <w:docVar w:name="trc_FT14" w:val="NULL"/>
    <w:docVar w:name="trc_FT22" w:val="NULL"/>
    <w:docVar w:name="trc_FT22_p" w:val="NULL"/>
    <w:docVar w:name="trc_FT23" w:val="NULL"/>
    <w:docVar w:name="trc_FT23_p" w:val="NULL"/>
    <w:docVar w:name="trc_FT24" w:val="NULL"/>
    <w:docVar w:name="trc_FT24_p" w:val="NULL"/>
    <w:docVar w:name="trc_FT32" w:val="NULL"/>
    <w:docVar w:name="trc_FT32_p" w:val="NULL"/>
    <w:docVar w:name="trc_FT33" w:val="NULL"/>
    <w:docVar w:name="trc_FT33_p" w:val="NULL"/>
    <w:docVar w:name="trc_FT34" w:val="NULL"/>
    <w:docVar w:name="trc_FT34_p" w:val="NULL"/>
    <w:docVar w:name="trc_FT42" w:val="NULL"/>
    <w:docVar w:name="trc_FT42_p" w:val="NULL"/>
    <w:docVar w:name="trc_FT43" w:val="NULL"/>
    <w:docVar w:name="trc_FT43_p" w:val="NULL"/>
    <w:docVar w:name="trc_FT44" w:val="NULL"/>
    <w:docVar w:name="trc_FT44_p" w:val="NULL"/>
    <w:docVar w:name="trc_FtNote1" w:val="Consensus EPS"/>
    <w:docVar w:name="trc_FtNote1_Text" w:val="First Call Consensus EPS"/>
    <w:docVar w:name="trc_FtNote2" w:val="Other"/>
    <w:docVar w:name="trc_FtNote3" w:val="NULL"/>
    <w:docVar w:name="trc_FtNote4" w:val="NULL"/>
    <w:docVar w:name="trc_FYEnd" w:val="Dec"/>
    <w:docVar w:name="trc_FYEnd_p" w:val="Dec"/>
    <w:docVar w:name="trc_FYEndMonthIndex" w:val="12"/>
    <w:docVar w:name="trc_headline" w:val="ENE: Adjust Historical EPS As Per Restatements; Lower 4Q &amp; 2002 Ests."/>
    <w:docVar w:name="trc_headline_display" w:val="Adjust Historical EPS As Per Restatements; Lower 4Q &amp; 2002 Ests."/>
    <w:docVar w:name="trc_Hedge" w:val="# Within the past three years, Salomon Smith Barney, including its parent, subsidiaries and/or affiliates, has acted as manager or co-manager of a public offering of the securities of this company.&#10;"/>
    <w:docVar w:name="trc_IB_Relation" w:val="#"/>
    <w:docVar w:name="trc_indexgroup" w:val="ENE is in the S&amp;P 500® Index."/>
    <w:docVar w:name="trc_industry" w:val="Power &amp; Natural Gas"/>
    <w:docVar w:name="trc_industry_Sub" w:val="NULL"/>
    <w:docVar w:name="trc_IndustryID" w:val="121130"/>
    <w:docVar w:name="trc_IsDescription" w:val="False"/>
    <w:docVar w:name="trc_IsDropCoverage" w:val="False"/>
    <w:docVar w:name="trc_IsEstimateChange" w:val="True"/>
    <w:docVar w:name="trc_IsNewCoverage" w:val="False"/>
    <w:docVar w:name="trc_IsRatingChange" w:val="False"/>
    <w:docVar w:name="trc_IsTargetChange" w:val="False"/>
    <w:docVar w:name="trc_IsThesis" w:val="False"/>
    <w:docVar w:name="trc_LastActualQuarte" w:val="Q3"/>
    <w:docVar w:name="trc_ltepsgrowth" w:val="NULL"/>
    <w:docVar w:name="trc_MCDate" w:val="11/15/2001 8:00:00 AM"/>
    <w:docVar w:name="trc_MKTCAP" w:val="7994.0"/>
    <w:docVar w:name="trc_MktCap_U" w:val="mil."/>
    <w:docVar w:name="trc_morningcall" w:val="True"/>
    <w:docVar w:name="trc_OPTIONS" w:val="NULL"/>
    <w:docVar w:name="trc_Other2" w:val="We are awaiting the restatement of quarterly 2000 EPS."/>
    <w:docVar w:name="trc_Other51" w:val="NULL"/>
    <w:docVar w:name="trc_Other52" w:val="NULL"/>
    <w:docVar w:name="trc_Other53" w:val="NULL"/>
    <w:docVar w:name="trc_Other54" w:val="NULL"/>
    <w:docVar w:name="trc_OtherCompanies" w:val="DYN"/>
    <w:docVar w:name="trc_OtherIndustryIDs" w:val="NULL"/>
    <w:docVar w:name="trc_Pages" w:val="3"/>
    <w:docVar w:name="trc_PRICEDATE" w:val="11/13/01"/>
    <w:docVar w:name="trc_priority" w:val="2"/>
    <w:docVar w:name="trc_pub_subtype" w:val="1"/>
    <w:docVar w:name="trc_publicationtype" w:val="Generic Company Note"/>
    <w:docVar w:name="trc_QDType" w:val="EPS"/>
    <w:docVar w:name="trc_QDYear1" w:val="12/00A"/>
    <w:docVar w:name="trc_QDYear2" w:val="12/01E"/>
    <w:docVar w:name="trc_QDYear3" w:val="12/02E"/>
    <w:docVar w:name="trc_QDYear4" w:val="12/03E"/>
    <w:docVar w:name="trc_RATING" w:val="3"/>
    <w:docVar w:name="trc_RATING_P" w:val="3"/>
    <w:docVar w:name="trc_RATINGDATE" w:val="10/25/01 9:01:17 AM"/>
    <w:docVar w:name="trc_RATINGDESC" w:val="Neutral"/>
    <w:docVar w:name="trc_RatingID" w:val="3"/>
    <w:docVar w:name="trc_releasedate" w:val="11/14/01"/>
    <w:docVar w:name="trc_Risk" w:val="S"/>
    <w:docVar w:name="trc_Risk_P" w:val="S"/>
    <w:docVar w:name="trc_RISKDESC" w:val="Speculative"/>
    <w:docVar w:name="trc_RiskID" w:val="14"/>
    <w:docVar w:name="trc_SecurityID" w:val="NULL"/>
    <w:docVar w:name="trc_SharesOut" w:val="801.0"/>
    <w:docVar w:name="trc_SharesOut_U" w:val="mil."/>
    <w:docVar w:name="trc_StatusMark" w:val="NONE"/>
    <w:docVar w:name="trc_SubjectIDs" w:val="EPS,COM"/>
    <w:docVar w:name="trc_submitter" w:val="bm58212"/>
    <w:docVar w:name="trc_submittername" w:val="Benjamin Morton"/>
    <w:docVar w:name="trc_submitterphone" w:val="+1-212-816-2086"/>
    <w:docVar w:name="trc_target" w:val="14.00"/>
    <w:docVar w:name="trc_target_P" w:val="14.00"/>
    <w:docVar w:name="trc_TemplateID" w:val="2"/>
    <w:docVar w:name="trc_TEV" w:val="NULL"/>
    <w:docVar w:name="trc_TEV_u" w:val="mil."/>
    <w:docVar w:name="trc_Thesis" w:val="We rate ENE 1H (Buy, High Risk), and place a 12-18 month price target of $55.  Our price target reflects both the implied value for Enron's energy merchant platform and the 'option' value associated bandwidth trading and extensions of their risk merchant franchise into other energy-related markets.  Further enhancing their valuation is the continuing transformation of ENE into a company relying on 'intellectual capital' vs. physical capital.  ENE is the leading wholesale energy supplier of natural gas, electricity, coal, and other commodities in the United States, and increasingly around the world.  We view ENE as a core holding in the Power and Natural Gas industry."/>
    <w:docVar w:name="trc_ticker" w:val="ENE"/>
    <w:docVar w:name="trc_Ticker_P" w:val="ENE:"/>
    <w:docVar w:name="trc_Version" w:val="1"/>
    <w:docVar w:name="trc_WkRng52Hi" w:val="84.63"/>
    <w:docVar w:name="trc_WkRng52Low" w:val="8.41"/>
    <w:docVar w:name="trc_y1" w:val="2000"/>
    <w:docVar w:name="trc_Y1CONSEPS" w:val="1.42"/>
    <w:docVar w:name="trc_y1q1" w:val="NULL"/>
    <w:docVar w:name="trc_y1q1AE" w:val="A"/>
    <w:docVar w:name="trc_y1q2" w:val="NULL"/>
    <w:docVar w:name="trc_y1q2AE" w:val="A"/>
    <w:docVar w:name="trc_y1q3" w:val="NULL"/>
    <w:docVar w:name="trc_y1q3AE" w:val="A"/>
    <w:docVar w:name="trc_y1q4" w:val="NULL"/>
    <w:docVar w:name="trc_y1q4AE" w:val="A"/>
    <w:docVar w:name="trc_y1Total" w:val="1.33"/>
    <w:docVar w:name="trc_y1TotalAE" w:val="A"/>
    <w:docVar w:name="trc_y2" w:val="2001"/>
    <w:docVar w:name="trc_Y2BVPS" w:val="10.00"/>
    <w:docVar w:name="trc_y2CommonEQ" w:val="8010.0"/>
    <w:docVar w:name="trc_y2CommonEQ_U" w:val="mil."/>
    <w:docVar w:name="trc_Y2CONSEPS" w:val="1.80"/>
    <w:docVar w:name="trc_Y2CONSEPS_p" w:val="1.80"/>
    <w:docVar w:name="trc_Y2DIVYIELD" w:val="0.052"/>
    <w:docVar w:name="trc_y2DPS" w:val="0.52"/>
    <w:docVar w:name="trc_y2EBITDA" w:val="3582.0"/>
    <w:docVar w:name="trc_y2EBITDA_u" w:val="mil."/>
    <w:docVar w:name="trc_Y2EVTOEBITDA" w:val="NULL"/>
    <w:docVar w:name="trc_Y2LTDCAP" w:val="0.516"/>
    <w:docVar w:name="trc_y2LTDEBT" w:val="8550.0"/>
    <w:docVar w:name="trc_y2LTDEBT_U" w:val="mil."/>
    <w:docVar w:name="trc_Y2PE" w:val="5.8"/>
    <w:docVar w:name="trc_Y2PRICETOBOOK" w:val="1.0"/>
    <w:docVar w:name="trc_y2q1" w:val="0.49"/>
    <w:docVar w:name="trc_y2q1_P" w:val="0.49"/>
    <w:docVar w:name="trc_Y2Q1ae" w:val="A"/>
    <w:docVar w:name="trc_y2q1AE_p" w:val="A"/>
    <w:docVar w:name="trc_y2q2" w:val="0.46"/>
    <w:docVar w:name="trc_y2q2_P" w:val="0.46"/>
    <w:docVar w:name="trc_Y2Q2ae" w:val="A"/>
    <w:docVar w:name="trc_y2q2AE_p" w:val="A"/>
    <w:docVar w:name="trc_y2q3" w:val="0.41"/>
    <w:docVar w:name="trc_y2q3_P" w:val="0.41"/>
    <w:docVar w:name="trc_Y2Q3ae" w:val="A"/>
    <w:docVar w:name="trc_y2q3AE_p" w:val="A"/>
    <w:docVar w:name="trc_y2q4" w:val="0.36"/>
    <w:docVar w:name="trc_y2q4_P" w:val="0.46"/>
    <w:docVar w:name="trc_Y2Q4ae" w:val="E"/>
    <w:docVar w:name="trc_y2q4AE_p" w:val="E"/>
    <w:docVar w:name="trc_y2REVENUE" w:val="100789.0"/>
    <w:docVar w:name="trc_y2REVENUE_U" w:val="mil."/>
    <w:docVar w:name="trc_y2ROE" w:val="0.115"/>
    <w:docVar w:name="trc_y2Total" w:val="1.72"/>
    <w:docVar w:name="trc_y2Total_p" w:val="1.80"/>
    <w:docVar w:name="trc_Y2Totalae" w:val="E"/>
    <w:docVar w:name="trc_y2TotalAE_p" w:val="E"/>
    <w:docVar w:name="trc_y3" w:val="2002"/>
    <w:docVar w:name="trc_Y3CONSEPS" w:val="1.97"/>
    <w:docVar w:name="trc_Y3CONSEPS_p" w:val="1.97"/>
    <w:docVar w:name="trc_y3EBITDA" w:val="5694.0"/>
    <w:docVar w:name="trc_y3EBITDA_U" w:val="mil."/>
    <w:docVar w:name="trc_Y3EVTOEBITDA" w:val="NULL"/>
    <w:docVar w:name="trc_Y3PE" w:val="6.7"/>
    <w:docVar w:name="trc_y3q1" w:val="NULL"/>
    <w:docVar w:name="trc_y3q1_P" w:val="NULL"/>
    <w:docVar w:name="trc_y3q1AE" w:val="E"/>
    <w:docVar w:name="trc_y3q1AE_p" w:val="E"/>
    <w:docVar w:name="trc_y3q2" w:val="NULL"/>
    <w:docVar w:name="trc_y3q2_P" w:val="NULL"/>
    <w:docVar w:name="trc_y3q2AE" w:val="E"/>
    <w:docVar w:name="trc_y3q2AE_p" w:val="E"/>
    <w:docVar w:name="trc_y3q3" w:val="NULL"/>
    <w:docVar w:name="trc_y3q3_P" w:val="NULL"/>
    <w:docVar w:name="trc_y3q3AE" w:val="E"/>
    <w:docVar w:name="trc_y3q3AE_p" w:val="E"/>
    <w:docVar w:name="trc_y3q4" w:val="NULL"/>
    <w:docVar w:name="trc_y3q4_P" w:val="NULL"/>
    <w:docVar w:name="trc_y3q4AE" w:val="E"/>
    <w:docVar w:name="trc_y3q4AE_p" w:val="E"/>
    <w:docVar w:name="trc_y3Total" w:val="1.50"/>
    <w:docVar w:name="trc_y3Total_p" w:val="2.15"/>
    <w:docVar w:name="trc_y3TotalAE" w:val="E"/>
    <w:docVar w:name="trc_y3TotalAE_p" w:val="E"/>
    <w:docVar w:name="trc_y4" w:val="2003"/>
    <w:docVar w:name="trc_Y4CONSEPS" w:val="NULL"/>
    <w:docVar w:name="trc_Y4CONSEPS_p" w:val="NULL"/>
    <w:docVar w:name="trc_y4q1" w:val="NULL"/>
    <w:docVar w:name="trc_y4q1_p" w:val="NULL"/>
    <w:docVar w:name="trc_y4q1AE" w:val="E"/>
    <w:docVar w:name="trc_y4q1AE_p" w:val="E"/>
    <w:docVar w:name="trc_y4q2" w:val="NULL"/>
    <w:docVar w:name="trc_y4q2_p" w:val="NULL"/>
    <w:docVar w:name="trc_y4q2AE" w:val="E"/>
    <w:docVar w:name="trc_y4q2AE_p" w:val="E"/>
    <w:docVar w:name="trc_y4q3" w:val="NULL"/>
    <w:docVar w:name="trc_y4q3_p" w:val="NULL"/>
    <w:docVar w:name="trc_y4q3AE" w:val="E"/>
    <w:docVar w:name="trc_y4q3AE_p" w:val="E"/>
    <w:docVar w:name="trc_y4q4" w:val="NULL"/>
    <w:docVar w:name="trc_y4q4_p" w:val="NULL"/>
    <w:docVar w:name="trc_y4q4AE" w:val="E"/>
    <w:docVar w:name="trc_y4q4AE_p" w:val="E"/>
    <w:docVar w:name="trc_y4Total" w:val="NULL"/>
    <w:docVar w:name="trc_y4Total_p" w:val="NULL"/>
    <w:docVar w:name="trc_y4TotalAE" w:val="E"/>
    <w:docVar w:name="trc_y4TotalAE_p" w:val="E"/>
  </w:docVars>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50"/>
    </w:pPr>
    <w:rPr>
      <w:rFonts w:ascii="Times New Roman" w:hAnsi="Times New Roman" w:eastAsia="Times New Roman" w:cs="Times New Roman"/>
      <w:color w:val="auto"/>
      <w:kern w:val="2"/>
      <w:sz w:val="21"/>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ZapfDingbats" w:hAnsi="ZapfDingbats" w:cs="ZapfDingbats"/>
      <w:color w:val="000000"/>
      <w:sz w:val="20"/>
    </w:rPr>
  </w:style>
  <w:style w:type="character" w:styleId="WW8Num5z0">
    <w:name w:val="WW8Num5z0"/>
    <w:qFormat/>
    <w:rPr>
      <w:rFonts w:ascii="ZapfDingbats" w:hAnsi="ZapfDingbats" w:cs="ZapfDingbats"/>
      <w:color w:val="000000"/>
      <w:sz w:val="20"/>
    </w:rPr>
  </w:style>
  <w:style w:type="character" w:styleId="WW8Num6z0">
    <w:name w:val="WW8Num6z0"/>
    <w:qFormat/>
    <w:rPr/>
  </w:style>
  <w:style w:type="character" w:styleId="WW8Num7z0">
    <w:name w:val="WW8Num7z0"/>
    <w:qFormat/>
    <w:rPr>
      <w:rFonts w:ascii="ZapfDingbats" w:hAnsi="ZapfDingbats" w:cs="ZapfDingbats"/>
      <w:color w:val="000000"/>
      <w:sz w:val="21"/>
    </w:rPr>
  </w:style>
  <w:style w:type="character" w:styleId="WW8Num8z0">
    <w:name w:val="WW8Num8z0"/>
    <w:qFormat/>
    <w:rPr/>
  </w:style>
  <w:style w:type="character" w:styleId="WW8Num9z0">
    <w:name w:val="WW8Num9z0"/>
    <w:qFormat/>
    <w:rPr>
      <w:rFonts w:ascii="ZapfDingbats" w:hAnsi="ZapfDingbats" w:cs="ZapfDingbats"/>
      <w:color w:val="000000"/>
      <w:sz w:val="20"/>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ZapfDingbats" w:hAnsi="ZapfDingbats" w:cs="ZapfDingbats"/>
      <w:color w:val="000000"/>
      <w:sz w:val="20"/>
    </w:rPr>
  </w:style>
  <w:style w:type="character" w:styleId="WW8Num13z0">
    <w:name w:val="WW8Num13z0"/>
    <w:qFormat/>
    <w:rPr>
      <w:rFonts w:ascii="ZapfDingbats" w:hAnsi="ZapfDingbats" w:cs="ZapfDingbats"/>
      <w:color w:val="000000"/>
      <w:sz w:val="20"/>
    </w:rPr>
  </w:style>
  <w:style w:type="character" w:styleId="WW8NumSt7z0">
    <w:name w:val="WW8NumSt7z0"/>
    <w:qFormat/>
    <w:rPr>
      <w:rFonts w:ascii="Wingdings" w:hAnsi="Wingdings" w:cs="Wingdings"/>
      <w:color w:val="000000"/>
      <w:sz w:val="22"/>
    </w:rPr>
  </w:style>
  <w:style w:type="character" w:styleId="DefaultParagraphFont">
    <w:name w:val="Default Paragraph Font"/>
    <w:qFormat/>
    <w:rPr/>
  </w:style>
  <w:style w:type="character" w:styleId="SSBChangeCheckBox">
    <w:name w:val="SSB_Change_CheckBox"/>
    <w:basedOn w:val="DefaultParagraphFont"/>
    <w:qFormat/>
    <w:rPr>
      <w:rFonts w:ascii="ZapfDingbats" w:hAnsi="ZapfDingbats" w:cs="ZapfDingbats"/>
      <w:sz w:val="18"/>
      <w:lang w:val="en-CA" w:eastAsia="en-CA"/>
    </w:rPr>
  </w:style>
  <w:style w:type="character" w:styleId="SSBMarketCapNumber">
    <w:name w:val="SSB_MarketCap_Number"/>
    <w:basedOn w:val="DefaultParagraphFont"/>
    <w:qFormat/>
    <w:rPr>
      <w:rFonts w:ascii="Helvetica-Black" w:hAnsi="Helvetica-Black" w:cs="Helvetica-Black"/>
      <w:sz w:val="20"/>
    </w:rPr>
  </w:style>
  <w:style w:type="character" w:styleId="SSBRatingDescription">
    <w:name w:val="SSB_Rating_Description"/>
    <w:basedOn w:val="DefaultParagraphFont"/>
    <w:qFormat/>
    <w:rPr>
      <w:rFonts w:ascii="HelveticaNeue Condensed" w:hAnsi="HelveticaNeue Condensed" w:cs="HelveticaNeue Condensed"/>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pPr>
    <w:rPr>
      <w:rFonts w:ascii="Arial" w:hAnsi="Arial" w:cs="Arial"/>
      <w:color w:val="000000"/>
      <w:kern w:val="0"/>
      <w:sz w:val="1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2880" w:leader="none"/>
        <w:tab w:val="right" w:pos="7830" w:leader="none"/>
      </w:tabs>
      <w:spacing w:lineRule="auto" w:line="240"/>
      <w:ind w:hanging="0" w:start="-2016" w:end="0"/>
    </w:pPr>
    <w:rPr>
      <w:sz w:val="22"/>
    </w:rPr>
  </w:style>
  <w:style w:type="paragraph" w:styleId="Footer">
    <w:name w:val="footer"/>
    <w:basedOn w:val="Normal"/>
    <w:pPr>
      <w:tabs>
        <w:tab w:val="clear" w:pos="720"/>
        <w:tab w:val="center" w:pos="2880" w:leader="none"/>
        <w:tab w:val="right" w:pos="7830" w:leader="none"/>
      </w:tabs>
      <w:spacing w:lineRule="auto" w:line="240"/>
      <w:ind w:hanging="0" w:start="-2016" w:end="0"/>
    </w:pPr>
    <w:rPr>
      <w:sz w:val="22"/>
    </w:rPr>
  </w:style>
  <w:style w:type="paragraph" w:styleId="SSBData">
    <w:name w:val="SSB_Data"/>
    <w:basedOn w:val="Normal"/>
    <w:qFormat/>
    <w:pPr>
      <w:tabs>
        <w:tab w:val="clear" w:pos="720"/>
        <w:tab w:val="right" w:pos="3600" w:leader="dot"/>
      </w:tabs>
      <w:spacing w:lineRule="exact" w:line="220" w:before="0" w:after="60"/>
    </w:pPr>
    <w:rPr>
      <w:rFonts w:ascii="HelveticaNeue Condensed" w:hAnsi="HelveticaNeue Condensed" w:cs="HelveticaNeue Condensed"/>
      <w:sz w:val="18"/>
    </w:rPr>
  </w:style>
  <w:style w:type="paragraph" w:styleId="SSBAnalystPhone">
    <w:name w:val="SSB_Analyst_Phone"/>
    <w:basedOn w:val="SSBData"/>
    <w:next w:val="SSBAnalystEmail"/>
    <w:qFormat/>
    <w:pPr>
      <w:tabs>
        <w:tab w:val="clear" w:pos="3600"/>
      </w:tabs>
      <w:spacing w:before="0" w:after="0"/>
    </w:pPr>
    <w:rPr/>
  </w:style>
  <w:style w:type="paragraph" w:styleId="SSBAnalystEmail">
    <w:name w:val="SSB_Analyst_Email"/>
    <w:basedOn w:val="SSBAnalystPhone"/>
    <w:next w:val="SSBAnalystName"/>
    <w:qFormat/>
    <w:pPr/>
    <w:rPr>
      <w:i/>
    </w:rPr>
  </w:style>
  <w:style w:type="paragraph" w:styleId="SSBAnalystName">
    <w:name w:val="SSB_Analyst_Name"/>
    <w:basedOn w:val="SSBData"/>
    <w:next w:val="SSBAnalystPhone"/>
    <w:qFormat/>
    <w:pPr>
      <w:tabs>
        <w:tab w:val="clear" w:pos="3600"/>
      </w:tabs>
      <w:spacing w:lineRule="exact" w:line="270" w:before="180" w:after="0"/>
    </w:pPr>
    <w:rPr>
      <w:b/>
      <w:sz w:val="23"/>
      <w:lang w:val="en-CA"/>
    </w:rPr>
  </w:style>
  <w:style w:type="paragraph" w:styleId="SSBBlackLine">
    <w:name w:val="SSB_BlackLine"/>
    <w:basedOn w:val="Normal"/>
    <w:next w:val="SSBHeading"/>
    <w:qFormat/>
    <w:pPr>
      <w:shd w:fill="000000" w:val="clear"/>
      <w:spacing w:lineRule="exact" w:line="140" w:before="0" w:after="40"/>
    </w:pPr>
    <w:rPr/>
  </w:style>
  <w:style w:type="paragraph" w:styleId="SSBHeading">
    <w:name w:val="SSB_Heading"/>
    <w:basedOn w:val="SSBData"/>
    <w:next w:val="SSBAnalystName"/>
    <w:qFormat/>
    <w:pPr>
      <w:keepNext w:val="true"/>
      <w:keepLines/>
      <w:tabs>
        <w:tab w:val="clear" w:pos="3600"/>
      </w:tabs>
      <w:spacing w:lineRule="exact" w:line="230"/>
      <w:outlineLvl w:val="2"/>
    </w:pPr>
    <w:rPr>
      <w:b/>
      <w:caps/>
      <w:sz w:val="19"/>
    </w:rPr>
  </w:style>
  <w:style w:type="paragraph" w:styleId="SSBBodyCallout">
    <w:name w:val="SSB_Body_Callout"/>
    <w:basedOn w:val="Normal"/>
    <w:next w:val="SSBBodyText"/>
    <w:qFormat/>
    <w:pPr>
      <w:spacing w:lineRule="exact" w:line="200"/>
      <w:jc w:val="end"/>
      <w:outlineLvl w:val="2"/>
    </w:pPr>
    <w:rPr>
      <w:rFonts w:ascii="Arial" w:hAnsi="Arial" w:cs="Arial"/>
      <w:b/>
      <w:i/>
      <w:sz w:val="16"/>
    </w:rPr>
  </w:style>
  <w:style w:type="paragraph" w:styleId="SSBBodyText">
    <w:name w:val="SSB_Body_Text"/>
    <w:basedOn w:val="Normal"/>
    <w:qFormat/>
    <w:pPr>
      <w:spacing w:lineRule="atLeast" w:line="250" w:before="0" w:after="180"/>
    </w:pPr>
    <w:rPr/>
  </w:style>
  <w:style w:type="paragraph" w:styleId="SSBBodyHeading">
    <w:name w:val="SSB_Body_Heading"/>
    <w:basedOn w:val="SSBHeading"/>
    <w:next w:val="SSBBodyText"/>
    <w:qFormat/>
    <w:pPr>
      <w:pBdr>
        <w:top w:val="single" w:sz="12" w:space="1" w:color="808080"/>
        <w:left w:val="single" w:sz="36" w:space="4" w:color="808080"/>
      </w:pBdr>
      <w:spacing w:before="120" w:after="0"/>
      <w:outlineLvl w:val="1"/>
    </w:pPr>
    <w:rPr/>
  </w:style>
  <w:style w:type="paragraph" w:styleId="SSBChange">
    <w:name w:val="SSB_Change"/>
    <w:basedOn w:val="SSBHeading"/>
    <w:qFormat/>
    <w:pPr>
      <w:spacing w:lineRule="auto" w:line="240" w:before="0" w:after="0"/>
      <w:jc w:val="end"/>
      <w:outlineLvl w:val="9"/>
    </w:pPr>
    <w:rPr>
      <w:caps w:val="false"/>
      <w:smallCaps w:val="false"/>
    </w:rPr>
  </w:style>
  <w:style w:type="paragraph" w:styleId="SSBHeadline">
    <w:name w:val="SSB_Headline"/>
    <w:basedOn w:val="Normal"/>
    <w:qFormat/>
    <w:pPr>
      <w:keepLines/>
      <w:spacing w:lineRule="auto" w:line="240"/>
      <w:outlineLvl w:val="1"/>
    </w:pPr>
    <w:rPr>
      <w:rFonts w:ascii="Helvetica-Black" w:hAnsi="Helvetica-Black" w:cs="Helvetica-Black"/>
      <w:b/>
      <w:sz w:val="24"/>
    </w:rPr>
  </w:style>
  <w:style w:type="paragraph" w:styleId="SSBCompany">
    <w:name w:val="SSB_Company"/>
    <w:basedOn w:val="SSBHeadline"/>
    <w:next w:val="SSBHeadline"/>
    <w:qFormat/>
    <w:pPr>
      <w:spacing w:lineRule="exact" w:line="400" w:before="200" w:after="200"/>
      <w:outlineLvl w:val="0"/>
    </w:pPr>
    <w:rPr>
      <w:b w:val="false"/>
      <w:sz w:val="36"/>
    </w:rPr>
  </w:style>
  <w:style w:type="paragraph" w:styleId="SSBDataCentered">
    <w:name w:val="SSB_Data_Centered"/>
    <w:basedOn w:val="SSBData"/>
    <w:qFormat/>
    <w:pPr>
      <w:tabs>
        <w:tab w:val="clear" w:pos="3600"/>
      </w:tabs>
      <w:jc w:val="center"/>
    </w:pPr>
    <w:rPr/>
  </w:style>
  <w:style w:type="paragraph" w:styleId="SSBDataDecimal">
    <w:name w:val="SSB_Data_Decimal"/>
    <w:basedOn w:val="SSBData"/>
    <w:qFormat/>
    <w:pPr>
      <w:tabs>
        <w:tab w:val="clear" w:pos="3600"/>
        <w:tab w:val="decimal" w:pos="432" w:leader="none"/>
      </w:tabs>
    </w:pPr>
    <w:rPr>
      <w:kern w:val="0"/>
    </w:rPr>
  </w:style>
  <w:style w:type="paragraph" w:styleId="SSBDataRight">
    <w:name w:val="SSB_Data_Right"/>
    <w:basedOn w:val="SSBData"/>
    <w:qFormat/>
    <w:pPr>
      <w:tabs>
        <w:tab w:val="clear" w:pos="3600"/>
      </w:tabs>
      <w:jc w:val="end"/>
    </w:pPr>
    <w:rPr>
      <w:kern w:val="0"/>
    </w:rPr>
  </w:style>
  <w:style w:type="paragraph" w:styleId="SSBDataQ">
    <w:name w:val="SSB_DataQ"/>
    <w:basedOn w:val="SSBData"/>
    <w:qFormat/>
    <w:pPr>
      <w:spacing w:before="0" w:after="0"/>
    </w:pPr>
    <w:rPr/>
  </w:style>
  <w:style w:type="paragraph" w:styleId="SSBDataQCentered">
    <w:name w:val="SSB_DataQ_Centered"/>
    <w:basedOn w:val="SSBDataQ"/>
    <w:qFormat/>
    <w:pPr>
      <w:tabs>
        <w:tab w:val="clear" w:pos="3600"/>
      </w:tabs>
      <w:jc w:val="center"/>
    </w:pPr>
    <w:rPr/>
  </w:style>
  <w:style w:type="paragraph" w:styleId="SSBDataQDecimal">
    <w:name w:val="SSB_DataQ_Decimal"/>
    <w:basedOn w:val="SSBDataQ"/>
    <w:qFormat/>
    <w:pPr>
      <w:tabs>
        <w:tab w:val="clear" w:pos="3600"/>
        <w:tab w:val="decimal" w:pos="504" w:leader="none"/>
      </w:tabs>
    </w:pPr>
    <w:rPr>
      <w:kern w:val="0"/>
    </w:rPr>
  </w:style>
  <w:style w:type="paragraph" w:styleId="SSBDataQRight">
    <w:name w:val="SSB_DataQ_Right"/>
    <w:basedOn w:val="SSBDataQ"/>
    <w:qFormat/>
    <w:pPr>
      <w:tabs>
        <w:tab w:val="clear" w:pos="3600"/>
      </w:tabs>
      <w:jc w:val="end"/>
    </w:pPr>
    <w:rPr>
      <w:kern w:val="0"/>
    </w:rPr>
  </w:style>
  <w:style w:type="paragraph" w:styleId="SSBHidden">
    <w:name w:val="SSB_Hidden"/>
    <w:basedOn w:val="Normal"/>
    <w:qFormat/>
    <w:pPr>
      <w:tabs>
        <w:tab w:val="clear" w:pos="720"/>
        <w:tab w:val="right" w:pos="7830" w:leader="none"/>
      </w:tabs>
    </w:pPr>
    <w:rPr>
      <w:vanish/>
    </w:rPr>
  </w:style>
  <w:style w:type="paragraph" w:styleId="SSBLogo1st">
    <w:name w:val="SSB_Logo_1st"/>
    <w:basedOn w:val="Footer"/>
    <w:next w:val="Footer"/>
    <w:qFormat/>
    <w:pPr>
      <w:ind w:hanging="0" w:start="0" w:end="0"/>
    </w:pPr>
    <w:rPr/>
  </w:style>
  <w:style w:type="paragraph" w:styleId="SSBMarketCap">
    <w:name w:val="SSB_MarketCap"/>
    <w:basedOn w:val="SSBData"/>
    <w:qFormat/>
    <w:pPr>
      <w:tabs>
        <w:tab w:val="clear" w:pos="3600"/>
      </w:tabs>
      <w:spacing w:lineRule="auto" w:line="240" w:before="0" w:after="0"/>
      <w:jc w:val="end"/>
    </w:pPr>
    <w:rPr>
      <w:b/>
      <w:sz w:val="20"/>
    </w:rPr>
  </w:style>
  <w:style w:type="paragraph" w:styleId="SSBRating">
    <w:name w:val="SSB_Rating"/>
    <w:basedOn w:val="SSBHeadline"/>
    <w:next w:val="SSBMarketCap"/>
    <w:qFormat/>
    <w:pPr>
      <w:jc w:val="end"/>
      <w:outlineLvl w:val="9"/>
    </w:pPr>
    <w:rPr>
      <w:sz w:val="28"/>
    </w:rPr>
  </w:style>
  <w:style w:type="paragraph" w:styleId="SSBRegion">
    <w:name w:val="SSB_Region"/>
    <w:basedOn w:val="SSBHeadline"/>
    <w:next w:val="Footer"/>
    <w:qFormat/>
    <w:pPr>
      <w:spacing w:lineRule="exact" w:line="480" w:before="240" w:after="0"/>
      <w:jc w:val="end"/>
      <w:outlineLvl w:val="9"/>
    </w:pPr>
    <w:rPr>
      <w:b w:val="false"/>
      <w:color w:val="808080"/>
      <w:sz w:val="44"/>
    </w:rPr>
  </w:style>
  <w:style w:type="paragraph" w:styleId="SSBReleaseDate">
    <w:name w:val="SSB_ReleaseDate"/>
    <w:basedOn w:val="SSBHeadline"/>
    <w:next w:val="SSBBlackLine"/>
    <w:qFormat/>
    <w:pPr>
      <w:spacing w:before="0" w:after="480"/>
      <w:outlineLvl w:val="9"/>
    </w:pPr>
    <w:rPr>
      <w:b w:val="false"/>
      <w:sz w:val="20"/>
    </w:rPr>
  </w:style>
  <w:style w:type="paragraph" w:styleId="SSBSummary">
    <w:name w:val="SSB_Summary"/>
    <w:basedOn w:val="SSBBodyText"/>
    <w:qFormat/>
    <w:pPr>
      <w:numPr>
        <w:ilvl w:val="0"/>
        <w:numId w:val="2"/>
      </w:numPr>
      <w:tabs>
        <w:tab w:val="clear" w:pos="720"/>
        <w:tab w:val="left" w:pos="288" w:leader="none"/>
      </w:tabs>
      <w:spacing w:before="0" w:after="60"/>
    </w:pPr>
    <w:rPr/>
  </w:style>
  <w:style w:type="paragraph" w:styleId="SSBSummaryHeading">
    <w:name w:val="SSB_Summary_Heading"/>
    <w:basedOn w:val="SSBHeading"/>
    <w:next w:val="SSBSummary"/>
    <w:qFormat/>
    <w:pPr>
      <w:ind w:hanging="0" w:start="288" w:end="0"/>
    </w:pPr>
    <w:rPr/>
  </w:style>
  <w:style w:type="paragraph" w:styleId="SSBTableSpacer">
    <w:name w:val="SSB_TableSpacer"/>
    <w:basedOn w:val="Normal"/>
    <w:qFormat/>
    <w:pPr>
      <w:spacing w:lineRule="exact" w:line="120"/>
    </w:pPr>
    <w:rPr>
      <w:sz w:val="12"/>
    </w:rPr>
  </w:style>
  <w:style w:type="paragraph" w:styleId="SSBTableSpacerHidden">
    <w:name w:val="SSB_TableSpacer_Hidden"/>
    <w:basedOn w:val="SSBTableSpacer"/>
    <w:qFormat/>
    <w:pPr/>
    <w:rPr>
      <w:vanish/>
    </w:rPr>
  </w:style>
  <w:style w:type="paragraph" w:styleId="SSBTitle">
    <w:name w:val="SSB_Title"/>
    <w:basedOn w:val="SSBHeadline"/>
    <w:qFormat/>
    <w:pPr>
      <w:spacing w:before="120" w:after="0"/>
      <w:jc w:val="end"/>
      <w:outlineLvl w:val="9"/>
    </w:pPr>
    <w:rPr>
      <w:b w:val="false"/>
      <w:color w:val="000000"/>
      <w:sz w:val="28"/>
    </w:rPr>
  </w:style>
  <w:style w:type="paragraph" w:styleId="SSBDisclaimer">
    <w:name w:val="SSB_Disclaimer"/>
    <w:qFormat/>
    <w:pPr>
      <w:widowControl/>
      <w:bidi w:val="0"/>
    </w:pPr>
    <w:rPr>
      <w:rFonts w:ascii="Arial" w:hAnsi="Arial" w:eastAsia="Times New Roman" w:cs="Arial"/>
      <w:color w:val="000000"/>
      <w:sz w:val="16"/>
      <w:szCs w:val="20"/>
      <w:lang w:eastAsia="en-US" w:val="en-CA" w:bidi="hi-IN"/>
    </w:rPr>
  </w:style>
  <w:style w:type="paragraph" w:styleId="SSBDisclaimerFirstCall">
    <w:name w:val="SSB_Disclaimer_FirstCall"/>
    <w:basedOn w:val="SSBDisclaimer"/>
    <w:qFormat/>
    <w:pPr/>
    <w:rPr>
      <w:vanish/>
    </w:rPr>
  </w:style>
  <w:style w:type="paragraph" w:styleId="DocumentMap">
    <w:name w:val="Document Map"/>
    <w:basedOn w:val="Normal"/>
    <w:qFormat/>
    <w:pPr>
      <w:shd w:fill="000080" w:val="clear"/>
    </w:pPr>
    <w:rPr>
      <w:rFonts w:ascii="Tahoma" w:hAnsi="Tahoma" w:cs="Tahoma"/>
    </w:rPr>
  </w:style>
  <w:style w:type="paragraph" w:styleId="SSBHedgeHeading">
    <w:name w:val="SSB_Hedge_Heading"/>
    <w:basedOn w:val="SSBBodyText"/>
    <w:next w:val="SSBHedge"/>
    <w:qFormat/>
    <w:pPr>
      <w:spacing w:lineRule="exact" w:line="180" w:before="0" w:after="60"/>
      <w:outlineLvl w:val="1"/>
    </w:pPr>
    <w:rPr>
      <w:sz w:val="14"/>
      <w:lang w:val="en-GB"/>
    </w:rPr>
  </w:style>
  <w:style w:type="paragraph" w:styleId="SSBHedge">
    <w:name w:val="SSB_Hedge"/>
    <w:basedOn w:val="SSBData"/>
    <w:qFormat/>
    <w:pPr>
      <w:tabs>
        <w:tab w:val="clear" w:pos="3600"/>
      </w:tabs>
      <w:spacing w:lineRule="exact" w:line="170" w:before="0" w:after="40"/>
    </w:pPr>
    <w:rPr>
      <w:color w:val="000000"/>
      <w:sz w:val="14"/>
    </w:rPr>
  </w:style>
  <w:style w:type="paragraph" w:styleId="SSBWatermarkDraft">
    <w:name w:val="SSB_Watermark_Draft"/>
    <w:qFormat/>
    <w:pPr>
      <w:widowControl/>
      <w:bidi w:val="0"/>
    </w:pPr>
    <w:rPr>
      <w:rFonts w:ascii="Times New Roman" w:hAnsi="Times New Roman" w:eastAsia="Times New Roman" w:cs="Times New Roman"/>
      <w:color w:val="auto"/>
      <w:sz w:val="3276"/>
      <w:szCs w:val="20"/>
      <w:lang w:val="en-CA" w:eastAsia="zh-CN" w:bidi="hi-IN"/>
    </w:rPr>
  </w:style>
  <w:style w:type="paragraph" w:styleId="SSBWatermarkReject">
    <w:name w:val="SSB_Watermark_Reject"/>
    <w:qFormat/>
    <w:pPr>
      <w:widowControl/>
      <w:bidi w:val="0"/>
    </w:pPr>
    <w:rPr>
      <w:rFonts w:ascii="Times New Roman" w:hAnsi="Times New Roman" w:eastAsia="Times New Roman" w:cs="Times New Roman"/>
      <w:color w:val="auto"/>
      <w:sz w:val="3276"/>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3.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SPRY_note.dot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2001-11-14T23:31:00Z</dcterms:created>
  <dc:creator>Benjamin Morton</dc:creator>
  <dc:description/>
  <dc:language>en-CA</dc:language>
  <cp:lastModifiedBy>Robert F Gumina</cp:lastModifiedBy>
  <cp:lastPrinted>2001-11-14T18:07:00Z</cp:lastPrinted>
  <dcterms:modified xsi:type="dcterms:W3CDTF">2001-11-14T22:08:00Z</dcterms:modified>
  <cp:revision>13</cp:revision>
  <dc:subject/>
  <dc:title>ENE_20011114_1</dc:title>
</cp:coreProperties>
</file>