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instrText xml:space="preserve"> FORMTEXT </w:instrText>
            </w:r>
            <w:r>
              <w:rPr/>
            </w:r>
            <w:r>
              <w:rPr/>
              <w:fldChar w:fldCharType="separate"/>
            </w:r>
            <w:r>
              <w:rPr/>
              <w:t>Enron Corporation</w:t>
            </w:r>
            <w:r>
              <w:rPr/>
            </w:r>
            <w:r>
              <w:rPr/>
              <w:fldChar w:fldCharType="end"/>
            </w:r>
            <w:r>
              <w:rPr/>
              <w:t xml:space="preserve"> (</w:t>
            </w:r>
            <w:r>
              <w:fldChar w:fldCharType="begin">
                <w:ffData>
                  <w:name w:val="TRC_TICKER"/>
                  <w:enabled/>
                  <w:calcOnExit w:val="0"/>
                  <w:textInput/>
                </w:ffData>
              </w:fldChar>
            </w:r>
            <w:r>
              <w:rPr/>
              <w:instrText xml:space="preserve"> FORMTEXT </w:instrText>
            </w:r>
            <w:r>
              <w:rPr/>
            </w:r>
            <w:r>
              <w:rPr/>
              <w:fldChar w:fldCharType="separate"/>
            </w:r>
            <w:r>
              <w:rPr/>
              <w:t>ENE</w:t>
            </w:r>
            <w:r>
              <w:rPr/>
            </w:r>
            <w:r>
              <w:rPr/>
              <w:fldChar w:fldCharType="end"/>
            </w:r>
            <w:r>
              <w:rPr/>
              <w:t>)</w:t>
            </w:r>
            <w:r>
              <w:fldChar w:fldCharType="begin">
                <w:ffData>
                  <w:name w:val="trc_IB_Relation"/>
                  <w:enabled/>
                  <w:calcOnExit w:val="0"/>
                  <w:textInput/>
                </w:ffData>
              </w:fldChar>
            </w:r>
            <w:r>
              <w:rPr/>
              <w:instrText xml:space="preserve"> FORMTEXT </w:instrText>
            </w:r>
            <w:r>
              <w:rPr/>
            </w:r>
            <w:r>
              <w:rPr/>
              <w:fldChar w:fldCharType="separate"/>
            </w:r>
            <w:r>
              <w:rPr/>
              <w:t>#</w:t>
            </w:r>
            <w:r/>
            <w:r>
              <w:rPr/>
              <w:fldChar w:fldCharType="end"/>
            </w:r>
            <w:r>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ENE: REITERATE BUY; BELIEVE LEADERSHIP INTACT</w:t>
            </w:r>
            <w:r/>
            <w:r>
              <w:rPr/>
              <w:fldChar w:fldCharType="end"/>
            </w:r>
            <w:r>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
                  <w:enabled/>
                  <w:calcOnExit w:val="0"/>
                  <w:textInput/>
                </w:ffData>
              </w:fldChar>
            </w:r>
            <w:r>
              <w:rPr/>
              <w:instrText xml:space="preserve"> FORMTEXT </w:instrText>
            </w:r>
            <w:r>
              <w:rPr/>
            </w:r>
            <w:r>
              <w:rPr/>
              <w:fldChar w:fldCharType="separate"/>
            </w:r>
            <w:r>
              <w:rPr/>
              <w:t>H</w:t>
            </w:r>
            <w:r>
              <w:rPr/>
            </w:r>
            <w:r>
              <w:rPr/>
              <w:fldChar w:fldCharType="end"/>
            </w:r>
            <w:r>
              <w:rPr>
                <w:rStyle w:val="SSBRatingDescription"/>
              </w:rPr>
              <w:t xml:space="preserve"> (</w:t>
            </w:r>
            <w:r>
              <w:fldChar w:fldCharType="begin">
                <w:ffData>
                  <w:name w:val="TRC_RATING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Buy</w:t>
            </w:r>
            <w:r>
              <w:rPr>
                <w:rStyle w:val="SSBRatingDescription"/>
              </w:rPr>
            </w:r>
            <w:r>
              <w:rPr>
                <w:rStyle w:val="SSBRatingDescription"/>
              </w:rPr>
              <w:fldChar w:fldCharType="end"/>
            </w:r>
            <w:r>
              <w:rPr>
                <w:rStyle w:val="SSBRatingDescription"/>
              </w:rPr>
              <w:t xml:space="preserve">, </w:t>
            </w:r>
            <w:r>
              <w:fldChar w:fldCharType="begin">
                <w:ffData>
                  <w:name w:val="TRC_RISK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High Risk</w:t>
            </w:r>
            <w:r>
              <w:rPr>
                <w:rStyle w:val="SSBRatingDescription"/>
              </w:rPr>
            </w:r>
            <w:r>
              <w:rPr>
                <w:rStyle w:val="SSBRatingDescription"/>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$37,824.1</w:t>
            </w:r>
            <w:r>
              <w:rPr>
                <w:rStyle w:val="SSBMarketCapNumber"/>
              </w:rPr>
            </w:r>
            <w:r>
              <w:rPr>
                <w:rStyle w:val="SSBMarketCapNumber"/>
              </w:rPr>
              <w:fldChar w:fldCharType="end"/>
            </w:r>
            <w:r>
              <w:rPr>
                <w:rStyle w:val="SSBMarketCapNumber"/>
              </w:rPr>
              <w:t xml:space="preserve"> </w:t>
            </w:r>
            <w:r>
              <w:fldChar w:fldCharType="begin">
                <w:ffData>
                  <w:name w:val="TRC_MKTCAP_U"/>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mil.</w:t>
            </w:r>
            <w:r/>
            <w:r>
              <w:rPr>
                <w:rStyle w:val="SSBMarketCapNumber"/>
              </w:rPr>
              <w:fldChar w:fldCharType="end"/>
            </w:r>
            <w:r>
              <w:rPr>
                <w:rStyle w:val="SSBMarketCapNumber"/>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May 18, 2001</w:t>
            </w:r>
            <w:r/>
            <w:r>
              <w:rPr/>
              <w:fldChar w:fldCharType="end"/>
            </w:r>
            <w:r>
              <w:rPr/>
            </w:r>
          </w:p>
          <w:p>
            <w:pPr>
              <w:pStyle w:val="SSBBlackLine"/>
              <w:ind w:end="1890"/>
              <w:rPr/>
            </w:pPr>
            <w:r>
              <w:rPr/>
            </w:r>
          </w:p>
          <w:p>
            <w:pPr>
              <w:pStyle w:val="SSBHeading"/>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pPr>
            <w:r>
              <w:fldChar w:fldCharType="begin">
                <w:ffData>
                  <w:name w:val="TRC_ANALYSTPHONE1"/>
                  <w:enabled/>
                  <w:calcOnExit w:val="0"/>
                  <w:textInput/>
                </w:ffData>
              </w:fldChar>
            </w:r>
            <w:r>
              <w:rPr/>
              <w:instrText xml:space="preserve"> FORMTEXT </w:instrText>
            </w:r>
            <w:r>
              <w:rPr/>
            </w:r>
            <w:r>
              <w:rPr/>
              <w:fldChar w:fldCharType="separate"/>
            </w:r>
            <w:r>
              <w:rPr/>
              <w:t>212-816-2807</w:t>
            </w:r>
            <w:r/>
            <w:r>
              <w:rPr/>
              <w:fldChar w:fldCharType="end"/>
            </w:r>
            <w:r>
              <w:rPr/>
            </w:r>
          </w:p>
          <w:p>
            <w:pPr>
              <w:pStyle w:val="SSBAnalystEmail"/>
              <w:rPr/>
            </w:pPr>
            <w:r>
              <w:fldChar w:fldCharType="begin">
                <w:ffData>
                  <w:name w:val="TRC_ANALYSTEMAIL1"/>
                  <w:enabled/>
                  <w:calcOnExit w:val="0"/>
                  <w:textInput/>
                </w:ffData>
              </w:fldChar>
            </w:r>
            <w:r>
              <w:rPr/>
              <w:instrText xml:space="preserve"> FORMTEXT </w:instrText>
            </w:r>
            <w:r>
              <w:rPr/>
            </w:r>
            <w:r>
              <w:rPr/>
              <w:fldChar w:fldCharType="separate"/>
            </w:r>
            <w:r>
              <w:rPr/>
              <w:t>ray.niles@ssmb.com</w:t>
            </w:r>
            <w:r/>
            <w:r>
              <w:rPr/>
              <w:fldChar w:fldCharType="end"/>
            </w:r>
            <w:r>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t>212-816-2086</w:t>
            </w:r>
            <w:r/>
            <w:r>
              <w:rPr/>
              <w:fldChar w:fldCharType="end"/>
            </w:r>
            <w:r>
              <w:rPr/>
            </w:r>
          </w:p>
          <w:p>
            <w:pPr>
              <w:pStyle w:val="SSBAnalystEmail"/>
              <w:rPr>
                <w:vanish/>
              </w:rPr>
            </w:pPr>
            <w:r>
              <w:fldChar w:fldCharType="begin">
                <w:ffData>
                  <w:name w:val="TRC_ANALYSTEMAIL2"/>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     </w:t>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t>     </w:t>
            </w:r>
            <w:r/>
            <w:r>
              <w:rPr/>
              <w:fldChar w:fldCharType="end"/>
            </w:r>
            <w:r>
              <w:rPr/>
            </w:r>
          </w:p>
          <w:p>
            <w:pPr>
              <w:pStyle w:val="SSBAnalystEmail"/>
              <w:rPr>
                <w:vanish/>
              </w:rPr>
            </w:pPr>
            <w:r>
              <w:fldChar w:fldCharType="begin">
                <w:ffData>
                  <w:name w:val="TRC_ANALYSTEMAIL3"/>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tc>
        <w:tc>
          <w:tcPr>
            <w:tcW w:w="6957" w:type="dxa"/>
            <w:gridSpan w:val="3"/>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ENE has underperformed its peer group of Energy Merchants.  Stock price down 39% from 52-week high ($90 on August 23) vs. peer group, up 1.9%.</w:t>
            </w:r>
            <w:r>
              <w:rPr>
                <w:lang w:val="en-CA"/>
              </w:rPr>
            </w:r>
          </w:p>
          <w:p>
            <w:pPr>
              <w:pStyle w:val="SSBSummary"/>
              <w:numPr>
                <w:ilvl w:val="0"/>
                <w:numId w:val="1"/>
              </w:numPr>
              <w:ind w:hanging="0" w:start="0"/>
              <w:rPr>
                <w:lang w:val="en-CA"/>
              </w:rPr>
            </w:pPr>
            <w:r>
              <w:rPr>
                <w:lang w:val="en-CA"/>
              </w:rPr>
              <w:t>We reiterate our Buy rating on the stock, and believe the weakness is largely due to concern over ENE's group-high P/E multiple and PEG ratio of 27x and 1.3x, respectively (group average 19x and 1.0x), coupled with a series of concerns over various parts of Enron's business: bandwidth, India, etc.</w:t>
            </w:r>
          </w:p>
          <w:p>
            <w:pPr>
              <w:pStyle w:val="SSBSummary"/>
              <w:numPr>
                <w:ilvl w:val="0"/>
                <w:numId w:val="1"/>
              </w:numPr>
              <w:ind w:hanging="0" w:start="0"/>
              <w:rPr>
                <w:lang w:val="en-CA"/>
              </w:rPr>
            </w:pPr>
            <w:r>
              <w:rPr>
                <w:lang w:val="en-CA"/>
              </w:rPr>
              <w:t>Our sense is that the bandwidth unit is performing on target, and is likely to beat the strong numbers posted last quarter.  India, while a significant issue, remains a small part of Enron's asset base (about 4%).  It is a legacy business, in our view, and does not materially affect our overall view of the company.</w:t>
            </w:r>
          </w:p>
          <w:p>
            <w:pPr>
              <w:pStyle w:val="SSBSummary"/>
              <w:numPr>
                <w:ilvl w:val="0"/>
                <w:numId w:val="1"/>
              </w:numPr>
              <w:spacing w:before="0" w:after="60"/>
              <w:ind w:hanging="0" w:start="0"/>
              <w:rPr/>
            </w:pPr>
            <w:r>
              <w:rPr>
                <w:lang w:val="en-CA"/>
              </w:rPr>
              <w:t>We see ENE's business fundamentals intact, and in fact, improving.  Growth rate expansion to 25% from 20%; growing returns on capital; bandwidth trading all good reasons to own stock -- justify premium valuation.</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PE"/>
                  <w:enabled/>
                  <w:calcOnExit w:val="0"/>
                  <w:textInput/>
                </w:ffData>
              </w:fldChar>
            </w:r>
            <w:r>
              <w:rPr/>
              <w:instrText xml:space="preserve"> FORMTEXT </w:instrText>
            </w:r>
            <w:r>
              <w:rPr/>
            </w:r>
            <w:r>
              <w:rPr/>
              <w:fldChar w:fldCharType="separate"/>
            </w:r>
            <w:r>
              <w:rPr/>
              <w:t>29.0x</w:t>
            </w:r>
            <w:r/>
            <w:r>
              <w:rPr/>
              <w:fldChar w:fldCharType="end"/>
            </w:r>
            <w:r>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PE"/>
                  <w:enabled/>
                  <w:calcOnExit w:val="0"/>
                  <w:textInput/>
                </w:ffData>
              </w:fldChar>
            </w:r>
            <w:r>
              <w:rPr/>
              <w:instrText xml:space="preserve"> FORMTEXT </w:instrText>
            </w:r>
            <w:r>
              <w:rPr/>
            </w:r>
            <w:r>
              <w:rPr/>
              <w:fldChar w:fldCharType="separate"/>
            </w:r>
            <w:r>
              <w:rPr/>
              <w:t>25.5x</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BVPS"/>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jc w:val="end"/>
              <w:rPr/>
            </w:pPr>
            <w:r>
              <w:fldChar w:fldCharType="begin">
                <w:ffData>
                  <w:name w:val="TRC_Y2PRICETOBOOK"/>
                  <w:enabled/>
                  <w:calcOnExit w:val="0"/>
                  <w:textInput/>
                </w:ffData>
              </w:fldChar>
            </w:r>
            <w:r>
              <w:rPr/>
              <w:instrText xml:space="preserve"> FORMTEXT </w:instrText>
            </w:r>
            <w:r>
              <w:rPr/>
            </w:r>
            <w:r>
              <w:rPr/>
              <w:fldChar w:fldCharType="separate"/>
            </w:r>
            <w:r>
              <w:rPr/>
              <w:t>NA</w:t>
            </w:r>
            <w:r/>
            <w:r>
              <w:rPr/>
              <w:fldChar w:fldCharType="end"/>
            </w:r>
            <w:r>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instrText xml:space="preserve"> FORMTEXT </w:instrText>
            </w:r>
            <w:r>
              <w:rPr/>
            </w:r>
            <w:r>
              <w:rPr/>
              <w:fldChar w:fldCharType="separate"/>
            </w:r>
            <w:r>
              <w:rPr/>
              <w:t>$0.54</w:t>
            </w:r>
            <w:r>
              <w:rPr/>
            </w:r>
            <w:r>
              <w:rPr/>
              <w:fldChar w:fldCharType="end"/>
            </w:r>
            <w:r>
              <w:rPr/>
              <w:t>/</w:t>
            </w:r>
            <w:r>
              <w:fldChar w:fldCharType="begin">
                <w:ffData>
                  <w:name w:val="TRC_Y2DIVYIELD"/>
                  <w:enabled/>
                  <w:calcOnExit w:val="0"/>
                  <w:textInput/>
                </w:ffData>
              </w:fldChar>
            </w:r>
            <w:r>
              <w:rPr/>
              <w:instrText xml:space="preserve"> FORMTEXT </w:instrText>
            </w:r>
            <w:r>
              <w:rPr/>
            </w:r>
            <w:r>
              <w:rPr/>
              <w:fldChar w:fldCharType="separate"/>
            </w:r>
            <w:r>
              <w:rPr/>
              <w:t>1.0%</w:t>
            </w:r>
            <w:r/>
            <w:r>
              <w:rPr/>
              <w:fldChar w:fldCharType="end"/>
            </w:r>
            <w:r>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instrText xml:space="preserve"> FORMTEXT </w:instrText>
            </w:r>
            <w:r>
              <w:rPr/>
            </w:r>
            <w:r>
              <w:rPr/>
              <w:fldChar w:fldCharType="separate"/>
            </w:r>
            <w:r>
              <w:rPr/>
              <w:t>$202,635.2</w:t>
            </w:r>
            <w:r>
              <w:rPr/>
            </w:r>
            <w:r>
              <w:rPr/>
              <w:fldChar w:fldCharType="end"/>
            </w:r>
            <w:r>
              <w:rPr/>
              <w:t xml:space="preserve"> </w:t>
            </w:r>
            <w:r>
              <w:fldChar w:fldCharType="begin">
                <w:ffData>
                  <w:name w:val="trc_y2REVENUE_U"/>
                  <w:enabled/>
                  <w:calcOnExit w:val="0"/>
                  <w:textInput/>
                </w:ffData>
              </w:fldChar>
            </w:r>
            <w:r>
              <w:rPr/>
              <w:instrText xml:space="preserve"> FORMTEXT </w:instrText>
            </w:r>
            <w:r>
              <w:rPr/>
            </w:r>
            <w:r>
              <w:rPr/>
              <w:fldChar w:fldCharType="separate"/>
            </w:r>
            <w:r>
              <w:rPr/>
              <w:t>mil.</w:t>
            </w:r>
            <w:r/>
            <w:r>
              <w:rPr/>
              <w:fldChar w:fldCharType="end"/>
            </w:r>
            <w:r>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jc w:val="end"/>
              <w:rPr/>
            </w:pPr>
            <w:r>
              <w:fldChar w:fldCharType="begin">
                <w:ffData>
                  <w:name w:val="TRC_EPSGR"/>
                  <w:enabled/>
                  <w:calcOnExit w:val="0"/>
                  <w:textInput/>
                </w:ffData>
              </w:fldChar>
            </w:r>
            <w:r>
              <w:rPr/>
              <w:instrText xml:space="preserve"> FORMTEXT </w:instrText>
            </w:r>
            <w:r>
              <w:rPr/>
            </w:r>
            <w:r>
              <w:rPr/>
              <w:fldChar w:fldCharType="separate"/>
            </w:r>
            <w:r>
              <w:rPr/>
              <w:t>20%</w:t>
            </w:r>
            <w:r/>
            <w:r>
              <w:rPr/>
              <w:fldChar w:fldCharType="end"/>
            </w:r>
            <w:r>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ROE"/>
                  <w:enabled/>
                  <w:calcOnExit w:val="0"/>
                  <w:textInput/>
                </w:ffData>
              </w:fldChar>
            </w:r>
            <w:r>
              <w:rPr/>
              <w:instrText xml:space="preserve"> FORMTEXT </w:instrText>
            </w:r>
            <w:r>
              <w:rPr/>
            </w:r>
            <w:r>
              <w:rPr/>
              <w:fldChar w:fldCharType="separate"/>
            </w:r>
            <w:r>
              <w:rPr/>
              <w:t>12.9%</w:t>
            </w:r>
            <w:r/>
            <w:r>
              <w:rPr/>
              <w:fldChar w:fldCharType="end"/>
            </w:r>
            <w:r>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jc w:val="end"/>
              <w:rPr/>
            </w:pPr>
            <w:r>
              <w:fldChar w:fldCharType="begin">
                <w:ffData>
                  <w:name w:val="TRC_Y2LTDCAP"/>
                  <w:enabled/>
                  <w:calcOnExit w:val="0"/>
                  <w:textInput/>
                </w:ffData>
              </w:fldChar>
            </w:r>
            <w:r>
              <w:rPr/>
              <w:instrText xml:space="preserve"> FORMTEXT </w:instrText>
            </w:r>
            <w:r>
              <w:rPr/>
            </w:r>
            <w:r>
              <w:rPr/>
              <w:fldChar w:fldCharType="separate"/>
            </w:r>
            <w:r>
              <w:rPr/>
              <w:t>NA</w:t>
            </w:r>
            <w:r/>
            <w:r>
              <w:rPr/>
              <w:fldChar w:fldCharType="end"/>
            </w:r>
            <w:r>
              <w:rPr/>
            </w:r>
          </w:p>
        </w:tc>
      </w:tr>
      <w:tr>
        <w:trPr>
          <w:trHeight w:val="460" w:hRule="atLeast"/>
        </w:trPr>
        <w:tc>
          <w:tcPr>
            <w:tcW w:w="2880" w:type="dxa"/>
            <w:gridSpan w:val="3"/>
            <w:tcBorders>
              <w:bottom w:val="single" w:sz="12" w:space="0" w:color="808080"/>
            </w:tcBorders>
          </w:tcPr>
          <w:p>
            <w:pPr>
              <w:pStyle w:val="SSBData"/>
              <w:spacing w:lineRule="exact" w:line="220" w:before="0" w:after="60"/>
              <w:rPr/>
            </w:pPr>
            <w:r>
              <w:fldChar w:fldCharType="begin">
                <w:ffData>
                  <w:name w:val="trc_indexgroup"/>
                  <w:enabled/>
                  <w:calcOnExit w:val="0"/>
                  <w:textInput/>
                </w:ffData>
              </w:fldChar>
            </w:r>
            <w:r>
              <w:rPr/>
              <w:instrText xml:space="preserve"> FORMTEXT </w:instrText>
            </w:r>
            <w:r>
              <w:rPr/>
            </w:r>
            <w:r>
              <w:rPr/>
              <w:fldChar w:fldCharType="separate"/>
            </w:r>
            <w:r>
              <w:rPr/>
              <w:t>ENE is in the S&amp;P 500® Index.</w:t>
            </w:r>
            <w:r/>
            <w:r>
              <w:rPr/>
              <w:fldChar w:fldCharType="end"/>
            </w:r>
            <w:r>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instrText xml:space="preserve"> FORMTEXT </w:instrText>
            </w:r>
            <w:r>
              <w:rPr/>
            </w:r>
            <w:r>
              <w:rPr/>
              <w:fldChar w:fldCharType="separate"/>
            </w:r>
            <w:r>
              <w:rPr/>
              <w:t>5/17/01</w:t>
            </w:r>
            <w:r>
              <w:rPr/>
            </w:r>
            <w:r>
              <w:rPr/>
              <w:fldChar w:fldCharType="end"/>
            </w:r>
            <w:r>
              <w:rPr/>
              <w:t>)</w:t>
              <w:tab/>
            </w:r>
          </w:p>
        </w:tc>
        <w:tc>
          <w:tcPr>
            <w:tcW w:w="917" w:type="dxa"/>
            <w:gridSpan w:val="2"/>
            <w:tcBorders/>
          </w:tcPr>
          <w:p>
            <w:pPr>
              <w:pStyle w:val="SSBDataRight"/>
              <w:spacing w:before="0" w:after="60"/>
              <w:jc w:val="end"/>
              <w:rPr/>
            </w:pPr>
            <w:r>
              <w:fldChar w:fldCharType="begin">
                <w:ffData>
                  <w:name w:val="TRC_CURRENTPRICE"/>
                  <w:enabled/>
                  <w:calcOnExit w:val="0"/>
                  <w:textInput/>
                </w:ffData>
              </w:fldChar>
            </w:r>
            <w:r>
              <w:rPr/>
              <w:instrText xml:space="preserve"> FORMTEXT </w:instrText>
            </w:r>
            <w:r>
              <w:rPr/>
            </w:r>
            <w:r>
              <w:rPr/>
              <w:fldChar w:fldCharType="separate"/>
            </w:r>
            <w:r>
              <w:rPr/>
              <w:t>$52.20</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rPr>
              <w:instrText xml:space="preserve"> FORMTEXT </w:instrText>
            </w:r>
            <w:r>
              <w:rPr>
                <w:b/>
              </w:rPr>
            </w:r>
            <w:r>
              <w:rPr>
                <w:b/>
              </w:rPr>
              <w:fldChar w:fldCharType="separate"/>
            </w:r>
            <w:r>
              <w:rPr>
                <w:b/>
              </w:rPr>
              <w:t>1</w:t>
            </w:r>
            <w:r>
              <w:rPr>
                <w:b/>
              </w:rPr>
            </w:r>
            <w:r>
              <w:rPr>
                <w:b/>
              </w:rPr>
              <w:fldChar w:fldCharType="end"/>
            </w:r>
            <w:r>
              <w:fldChar w:fldCharType="begin">
                <w:ffData>
                  <w:name w:val="TRC_RISK_A1"/>
                  <w:enabled/>
                  <w:calcOnExit w:val="0"/>
                  <w:textInput/>
                </w:ffData>
              </w:fldChar>
            </w:r>
            <w:r>
              <w:rPr>
                <w:b/>
              </w:rPr>
              <w:instrText xml:space="preserve"> FORMTEXT </w:instrText>
            </w:r>
            <w:r>
              <w:rPr>
                <w:b/>
              </w:rPr>
            </w:r>
            <w:r>
              <w:rPr>
                <w:b/>
              </w:rPr>
              <w:fldChar w:fldCharType="separate"/>
            </w:r>
            <w:r>
              <w:rPr>
                <w:b/>
              </w:rPr>
              <w:t>H</w:t>
            </w:r>
            <w:r/>
            <w:r>
              <w:rPr>
                <w:b/>
              </w:rPr>
              <w:fldChar w:fldCharType="end"/>
            </w:r>
            <w:r>
              <w:rPr>
                <w:b/>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instrText xml:space="preserve"> FORMTEXT </w:instrText>
            </w:r>
            <w:r>
              <w:rPr/>
            </w:r>
            <w:r>
              <w:rPr/>
              <w:fldChar w:fldCharType="separate"/>
            </w:r>
            <w:r>
              <w:rPr/>
              <w:t>$90.00</w:t>
            </w:r>
            <w:r>
              <w:rPr/>
            </w:r>
            <w:r>
              <w:rPr/>
              <w:fldChar w:fldCharType="end"/>
            </w:r>
            <w:r>
              <w:rPr/>
              <w:t>-</w:t>
            </w:r>
            <w:r>
              <w:fldChar w:fldCharType="begin">
                <w:ffData>
                  <w:name w:val="TRC_WKRNG52LOW"/>
                  <w:enabled/>
                  <w:calcOnExit w:val="0"/>
                  <w:textInput/>
                </w:ffData>
              </w:fldChar>
            </w:r>
            <w:r>
              <w:rPr/>
              <w:instrText xml:space="preserve"> FORMTEXT </w:instrText>
            </w:r>
            <w:r>
              <w:rPr/>
            </w:r>
            <w:r>
              <w:rPr/>
              <w:fldChar w:fldCharType="separate"/>
            </w:r>
            <w:r>
              <w:rPr/>
              <w:t>$52.20</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_P"/>
                  <w:enabled/>
                  <w:calcOnExit w:val="0"/>
                  <w:textInput/>
                </w:ffData>
              </w:fldChar>
            </w:r>
            <w:r>
              <w:rPr/>
              <w:instrText xml:space="preserve"> FORMTEXT </w:instrText>
            </w:r>
            <w:r>
              <w:rPr/>
            </w:r>
            <w:r>
              <w:rPr/>
              <w:fldChar w:fldCharType="separate"/>
            </w:r>
            <w:r>
              <w:rPr/>
              <w:t>H</w:t>
            </w:r>
            <w:r/>
            <w:r>
              <w:rPr/>
              <w:fldChar w:fldCharType="end"/>
            </w:r>
            <w:r>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instrText xml:space="preserve"> FORMTEXT </w:instrText>
            </w:r>
            <w:r>
              <w:rPr/>
            </w:r>
            <w:r>
              <w:rPr/>
              <w:fldChar w:fldCharType="separate"/>
            </w:r>
            <w:r>
              <w:rPr/>
              <w:t>724.6</w:t>
            </w:r>
            <w:r>
              <w:rPr/>
            </w:r>
            <w:r>
              <w:rPr/>
              <w:fldChar w:fldCharType="end"/>
            </w:r>
            <w:r>
              <w:rPr/>
              <w:t xml:space="preserve"> </w:t>
            </w:r>
            <w:r>
              <w:fldChar w:fldCharType="begin">
                <w:ffData>
                  <w:name w:val="TRC_SHARESOUT_U"/>
                  <w:enabled/>
                  <w:calcOnExit w:val="0"/>
                  <w:textInput/>
                </w:ffData>
              </w:fldChar>
            </w:r>
            <w:r>
              <w:rPr/>
              <w:instrText xml:space="preserve"> FORMTEXT </w:instrText>
            </w:r>
            <w:r>
              <w:rPr/>
            </w:r>
            <w:r>
              <w:rPr/>
              <w:fldChar w:fldCharType="separate"/>
            </w:r>
            <w:r>
              <w:rPr/>
              <w:t>mil.</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rPr>
              <w:instrText xml:space="preserve"> FORMTEXT </w:instrText>
            </w:r>
            <w:r>
              <w:rPr>
                <w:b/>
              </w:rPr>
            </w:r>
            <w:r>
              <w:rPr>
                <w:b/>
              </w:rPr>
              <w:fldChar w:fldCharType="separate"/>
            </w:r>
            <w:r>
              <w:rPr>
                <w:b/>
              </w:rPr>
              <w:t>$100.00</w:t>
            </w:r>
            <w:r/>
            <w:r>
              <w:rPr>
                <w:b/>
              </w:rPr>
              <w:fldChar w:fldCharType="end"/>
            </w:r>
            <w:r>
              <w:rPr>
                <w:b/>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jc w:val="end"/>
              <w:rPr/>
            </w:pPr>
            <w:r>
              <w:fldChar w:fldCharType="begin">
                <w:ffData>
                  <w:name w:val="TRC_CONVERTIBLE"/>
                  <w:enabled/>
                  <w:calcOnExit w:val="0"/>
                  <w:textInput/>
                </w:ffData>
              </w:fldChar>
            </w:r>
            <w:r>
              <w:rPr/>
              <w:instrText xml:space="preserve"> FORMTEXT </w:instrText>
            </w:r>
            <w:r>
              <w:rPr/>
            </w:r>
            <w:r>
              <w:rPr/>
              <w:fldChar w:fldCharType="separate"/>
            </w:r>
            <w:r>
              <w:rPr/>
              <w:t>No</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jc w:val="end"/>
              <w:rPr/>
            </w:pPr>
            <w:r>
              <w:fldChar w:fldCharType="begin">
                <w:ffData>
                  <w:name w:val="TRC_TARGET_P"/>
                  <w:enabled/>
                  <w:calcOnExit w:val="0"/>
                  <w:textInput/>
                </w:ffData>
              </w:fldChar>
            </w:r>
            <w:r>
              <w:rPr/>
              <w:instrText xml:space="preserve"> FORMTEXT </w:instrText>
            </w:r>
            <w:r>
              <w:rPr/>
            </w:r>
            <w:r>
              <w:rPr/>
              <w:fldChar w:fldCharType="separate"/>
            </w:r>
            <w:r>
              <w:rPr/>
              <w:t>$100.00</w:t>
            </w:r>
            <w:r/>
            <w:r>
              <w:rPr/>
              <w:fldChar w:fldCharType="end"/>
            </w:r>
            <w:r>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rPr>
              <w:instrText xml:space="preserve"> FORMTEXT </w:instrText>
            </w:r>
            <w:r>
              <w:rPr>
                <w:b/>
              </w:rPr>
            </w:r>
            <w:r>
              <w:rPr>
                <w:b/>
              </w:rPr>
              <w:fldChar w:fldCharType="separate"/>
            </w:r>
            <w:r>
              <w:rPr>
                <w:b/>
              </w:rPr>
              <w:t>12/00A</w:t>
            </w:r>
            <w:r/>
            <w:r>
              <w:rPr>
                <w:b/>
              </w:rPr>
              <w:fldChar w:fldCharType="end"/>
            </w:r>
            <w:r>
              <w:rPr>
                <w:b/>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rPr>
              <w:instrText xml:space="preserve"> FORMTEXT </w:instrText>
            </w:r>
            <w:r>
              <w:rPr>
                <w:b/>
              </w:rPr>
            </w:r>
            <w:r>
              <w:rPr>
                <w:b/>
              </w:rPr>
              <w:fldChar w:fldCharType="separate"/>
            </w:r>
            <w:r>
              <w:rPr>
                <w:b/>
              </w:rPr>
              <w:t>$0.40</w:t>
            </w:r>
            <w:r>
              <w:rPr>
                <w:b/>
              </w:rPr>
            </w:r>
            <w:r>
              <w:rPr>
                <w:b/>
              </w:rPr>
              <w:fldChar w:fldCharType="end"/>
            </w:r>
            <w:r>
              <w:fldChar w:fldCharType="begin">
                <w:ffData>
                  <w:name w:val="TRC_Y1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rPr>
              <w:instrText xml:space="preserve"> FORMTEXT </w:instrText>
            </w:r>
            <w:r>
              <w:rPr>
                <w:b/>
              </w:rPr>
            </w:r>
            <w:r>
              <w:rPr>
                <w:b/>
              </w:rPr>
              <w:fldChar w:fldCharType="separate"/>
            </w:r>
            <w:r>
              <w:rPr>
                <w:b/>
              </w:rPr>
              <w:t>$0.34</w:t>
            </w:r>
            <w:r>
              <w:rPr>
                <w:b/>
              </w:rPr>
            </w:r>
            <w:r>
              <w:rPr>
                <w:b/>
              </w:rPr>
              <w:fldChar w:fldCharType="end"/>
            </w:r>
            <w:r>
              <w:fldChar w:fldCharType="begin">
                <w:ffData>
                  <w:name w:val="TRC_Y1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rPr>
              <w:instrText xml:space="preserve"> FORMTEXT </w:instrText>
            </w:r>
            <w:r>
              <w:rPr>
                <w:b/>
              </w:rPr>
            </w:r>
            <w:r>
              <w:rPr>
                <w:b/>
              </w:rPr>
              <w:fldChar w:fldCharType="separate"/>
            </w:r>
            <w:r>
              <w:rPr>
                <w:b/>
              </w:rPr>
              <w:t>$0.34</w:t>
            </w:r>
            <w:r>
              <w:rPr>
                <w:b/>
              </w:rPr>
            </w:r>
            <w:r>
              <w:rPr>
                <w:b/>
              </w:rPr>
              <w:fldChar w:fldCharType="end"/>
            </w:r>
            <w:r>
              <w:fldChar w:fldCharType="begin">
                <w:ffData>
                  <w:name w:val="TRC_Y1Q3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rPr>
              <w:instrText xml:space="preserve"> FORMTEXT </w:instrText>
            </w:r>
            <w:r>
              <w:rPr>
                <w:b/>
              </w:rPr>
            </w:r>
            <w:r>
              <w:rPr>
                <w:b/>
              </w:rPr>
              <w:fldChar w:fldCharType="separate"/>
            </w:r>
            <w:r>
              <w:rPr>
                <w:b/>
              </w:rPr>
              <w:t>$0.41</w:t>
            </w:r>
            <w:r>
              <w:rPr>
                <w:b/>
              </w:rPr>
            </w:r>
            <w:r>
              <w:rPr>
                <w:b/>
              </w:rPr>
              <w:fldChar w:fldCharType="end"/>
            </w:r>
            <w:r>
              <w:fldChar w:fldCharType="begin">
                <w:ffData>
                  <w:name w:val="TRC_Y1Q4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rPr>
              <w:instrText xml:space="preserve"> FORMTEXT </w:instrText>
            </w:r>
            <w:r>
              <w:rPr>
                <w:b/>
              </w:rPr>
            </w:r>
            <w:r>
              <w:rPr>
                <w:b/>
              </w:rPr>
              <w:fldChar w:fldCharType="separate"/>
            </w:r>
            <w:r>
              <w:rPr>
                <w:b/>
              </w:rPr>
              <w:t>$1.47</w:t>
            </w:r>
            <w:r>
              <w:rPr>
                <w:b/>
              </w:rPr>
            </w:r>
            <w:r>
              <w:rPr>
                <w:b/>
              </w:rPr>
              <w:fldChar w:fldCharType="end"/>
            </w:r>
            <w:r>
              <w:fldChar w:fldCharType="begin">
                <w:ffData>
                  <w:name w:val="TRC_Y1TOTAL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rPr>
              <w:instrText xml:space="preserve"> FORMTEXT </w:instrText>
            </w:r>
            <w:r>
              <w:rPr>
                <w:b/>
              </w:rPr>
            </w:r>
            <w:r>
              <w:rPr>
                <w:b/>
              </w:rPr>
              <w:fldChar w:fldCharType="separate"/>
            </w:r>
            <w:r>
              <w:rPr>
                <w:b/>
              </w:rPr>
              <w:t>12/01E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rPr>
              <w:instrText xml:space="preserve"> FORMTEXT </w:instrText>
            </w:r>
            <w:r>
              <w:rPr>
                <w:b/>
              </w:rPr>
            </w:r>
            <w:r>
              <w:rPr>
                <w:b/>
              </w:rPr>
              <w:fldChar w:fldCharType="separate"/>
            </w:r>
            <w:r>
              <w:rPr>
                <w:b/>
              </w:rPr>
              <w:t>$0.47</w:t>
            </w:r>
            <w:r>
              <w:rPr>
                <w:b/>
              </w:rPr>
            </w:r>
            <w:r>
              <w:rPr>
                <w:b/>
              </w:rPr>
              <w:fldChar w:fldCharType="end"/>
            </w:r>
            <w:r>
              <w:fldChar w:fldCharType="begin">
                <w:ffData>
                  <w:name w:val="TRC_Y2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2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2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2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2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2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2TOTAL"/>
                  <w:enabled/>
                  <w:calcOnExit w:val="0"/>
                  <w:textInput/>
                </w:ffData>
              </w:fldChar>
            </w:r>
            <w:r>
              <w:rPr>
                <w:b/>
              </w:rPr>
              <w:instrText xml:space="preserve"> FORMTEXT </w:instrText>
            </w:r>
            <w:r>
              <w:rPr>
                <w:b/>
              </w:rPr>
            </w:r>
            <w:r>
              <w:rPr>
                <w:b/>
              </w:rPr>
              <w:fldChar w:fldCharType="separate"/>
            </w:r>
            <w:r>
              <w:rPr>
                <w:b/>
              </w:rPr>
              <w:t>$1.80</w:t>
            </w:r>
            <w:r>
              <w:rPr>
                <w:b/>
              </w:rPr>
            </w:r>
            <w:r>
              <w:rPr>
                <w:b/>
              </w:rPr>
              <w:fldChar w:fldCharType="end"/>
            </w:r>
            <w:r>
              <w:fldChar w:fldCharType="begin">
                <w:ffData>
                  <w:name w:val="TRC_Y2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instrText xml:space="preserve"> FORMTEXT </w:instrText>
            </w:r>
            <w:r>
              <w:rPr/>
            </w:r>
            <w:r>
              <w:rPr/>
              <w:fldChar w:fldCharType="separate"/>
            </w:r>
            <w:r>
              <w:rPr/>
              <w:t>$0.47</w:t>
            </w:r>
            <w:r>
              <w:rPr/>
            </w:r>
            <w:r>
              <w:rPr/>
              <w:fldChar w:fldCharType="end"/>
            </w:r>
            <w:r>
              <w:fldChar w:fldCharType="begin">
                <w:ffData>
                  <w:name w:val="TRC_Y2Q1AE_P"/>
                  <w:enabled/>
                  <w:calcOnExit w:val="0"/>
                  <w:textInput/>
                </w:ffData>
              </w:fldChar>
            </w:r>
            <w:r>
              <w:rPr/>
              <w:instrText xml:space="preserve"> FORMTEXT </w:instrText>
            </w:r>
            <w:r>
              <w:rPr/>
            </w:r>
            <w:r>
              <w:rPr/>
              <w:fldChar w:fldCharType="separate"/>
            </w:r>
            <w:r>
              <w:rPr/>
              <w:t>A</w:t>
            </w:r>
            <w:r/>
            <w:r>
              <w:rPr/>
              <w:fldChar w:fldCharType="end"/>
            </w:r>
            <w:r>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instrText xml:space="preserve"> FORMTEXT </w:instrText>
            </w:r>
            <w:r>
              <w:rPr/>
            </w:r>
            <w:r>
              <w:rPr/>
              <w:fldChar w:fldCharType="separate"/>
            </w:r>
            <w:r>
              <w:rPr/>
              <w:t>$1.80</w:t>
            </w:r>
            <w:r>
              <w:rPr/>
            </w:r>
            <w:r>
              <w:rPr/>
              <w:fldChar w:fldCharType="end"/>
            </w:r>
            <w:r>
              <w:fldChar w:fldCharType="begin">
                <w:ffData>
                  <w:name w:val="TRC_Y2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rPr>
              <w:instrText xml:space="preserve"> FORMTEXT </w:instrText>
            </w:r>
            <w:r>
              <w:rPr>
                <w:b/>
              </w:rPr>
            </w:r>
            <w:r>
              <w:rPr>
                <w:b/>
              </w:rPr>
              <w:fldChar w:fldCharType="separate"/>
            </w:r>
            <w:r>
              <w:rPr>
                <w:b/>
              </w:rPr>
              <w:t>12/02E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TOTAL"/>
                  <w:enabled/>
                  <w:calcOnExit w:val="0"/>
                  <w:textInput/>
                </w:ffData>
              </w:fldChar>
            </w:r>
            <w:r>
              <w:rPr>
                <w:b/>
              </w:rPr>
              <w:instrText xml:space="preserve"> FORMTEXT </w:instrText>
            </w:r>
            <w:r>
              <w:rPr>
                <w:b/>
              </w:rPr>
            </w:r>
            <w:r>
              <w:rPr>
                <w:b/>
              </w:rPr>
              <w:fldChar w:fldCharType="separate"/>
            </w:r>
            <w:r>
              <w:rPr>
                <w:b/>
              </w:rPr>
              <w:t>$2.05</w:t>
            </w:r>
            <w:r>
              <w:rPr>
                <w:b/>
              </w:rPr>
            </w:r>
            <w:r>
              <w:rPr>
                <w:b/>
              </w:rPr>
              <w:fldChar w:fldCharType="end"/>
            </w:r>
            <w:r>
              <w:fldChar w:fldCharType="begin">
                <w:ffData>
                  <w:name w:val="TRC_Y3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instrText xml:space="preserve"> FORMTEXT </w:instrText>
            </w:r>
            <w:r>
              <w:rPr/>
            </w:r>
            <w:r>
              <w:rPr/>
              <w:fldChar w:fldCharType="separate"/>
            </w:r>
            <w:r>
              <w:rPr/>
              <w:t>$2.05</w:t>
            </w:r>
            <w:r>
              <w:rPr/>
            </w:r>
            <w:r>
              <w:rPr/>
              <w:fldChar w:fldCharType="end"/>
            </w:r>
            <w:r>
              <w:fldChar w:fldCharType="begin">
                <w:ffData>
                  <w:name w:val="TRC_Y3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rPr>
              <w:instrText xml:space="preserve"> FORMTEXT </w:instrText>
            </w:r>
            <w:r>
              <w:rPr>
                <w:b/>
              </w:rPr>
            </w:r>
            <w:r>
              <w:rPr>
                <w:b/>
              </w:rPr>
              <w:fldChar w:fldCharType="separate"/>
            </w:r>
            <w:r>
              <w:rPr>
                <w:b/>
              </w:rPr>
              <w:t>12/03E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TOTAL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TOTALAE_P"/>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instrText xml:space="preserve"> FORMTEXT </w:instrText>
            </w:r>
            <w:bookmarkStart w:id="2" w:name="trc_FtNote1_Text_Copy_1"/>
            <w:r>
              <w:rPr/>
            </w:r>
            <w:r>
              <w:rPr/>
              <w:fldChar w:fldCharType="separate"/>
            </w:r>
            <w:r>
              <w:rPr/>
              <w:t>First Call Consensus EPS</w:t>
            </w:r>
            <w:r>
              <w:rPr/>
            </w:r>
            <w:r>
              <w:rPr/>
              <w:fldChar w:fldCharType="end"/>
            </w:r>
            <w:bookmarkEnd w:id="2"/>
            <w:r>
              <w:rPr/>
              <w:t xml:space="preserve">: </w:t>
            </w:r>
            <w:r>
              <w:fldChar w:fldCharType="begin">
                <w:ffData>
                  <w:name w:val="trc_QDYear2_a3"/>
                  <w:enabled/>
                  <w:calcOnExit w:val="0"/>
                  <w:textInput/>
                </w:ffData>
              </w:fldChar>
            </w:r>
            <w:r>
              <w:rPr/>
              <w:instrText xml:space="preserve"> FORMTEXT </w:instrText>
            </w:r>
            <w:r>
              <w:rPr/>
            </w:r>
            <w:r>
              <w:rPr/>
              <w:fldChar w:fldCharType="separate"/>
            </w:r>
            <w:r>
              <w:rPr/>
              <w:t>12/01E</w:t>
            </w:r>
            <w:r>
              <w:rPr/>
            </w:r>
            <w:r>
              <w:rPr/>
              <w:fldChar w:fldCharType="end"/>
            </w:r>
            <w:r>
              <w:rPr/>
              <w:t xml:space="preserve"> </w:t>
            </w:r>
            <w:r>
              <w:fldChar w:fldCharType="begin">
                <w:ffData>
                  <w:name w:val="trc_Y2CONSEPS"/>
                  <w:enabled/>
                  <w:calcOnExit w:val="0"/>
                  <w:textInput/>
                </w:ffData>
              </w:fldChar>
            </w:r>
            <w:r>
              <w:rPr/>
              <w:instrText xml:space="preserve"> FORMTEXT </w:instrText>
            </w:r>
            <w:r>
              <w:rPr/>
            </w:r>
            <w:r>
              <w:rPr/>
              <w:fldChar w:fldCharType="separate"/>
            </w:r>
            <w:r>
              <w:rPr/>
              <w:t>$1.79</w:t>
            </w:r>
            <w:r>
              <w:rPr/>
            </w:r>
            <w:r>
              <w:rPr/>
              <w:fldChar w:fldCharType="end"/>
            </w:r>
            <w:r>
              <w:rPr/>
              <w:t xml:space="preserve">; </w:t>
            </w:r>
            <w:r>
              <w:fldChar w:fldCharType="begin">
                <w:ffData>
                  <w:name w:val="trc_QDYear3_a3"/>
                  <w:enabled/>
                  <w:calcOnExit w:val="0"/>
                  <w:textInput/>
                </w:ffData>
              </w:fldChar>
            </w:r>
            <w:r>
              <w:rPr/>
              <w:instrText xml:space="preserve"> FORMTEXT </w:instrText>
            </w:r>
            <w:r>
              <w:rPr/>
            </w:r>
            <w:r>
              <w:rPr/>
              <w:fldChar w:fldCharType="separate"/>
            </w:r>
            <w:r>
              <w:rPr/>
              <w:t>12/02E</w:t>
            </w:r>
            <w:r>
              <w:rPr/>
            </w:r>
            <w:r>
              <w:rPr/>
              <w:fldChar w:fldCharType="end"/>
            </w:r>
            <w:r>
              <w:rPr/>
              <w:t xml:space="preserve"> </w:t>
            </w:r>
            <w:r>
              <w:fldChar w:fldCharType="begin">
                <w:ffData>
                  <w:name w:val="trc_Y3CONSEPS"/>
                  <w:enabled/>
                  <w:calcOnExit w:val="0"/>
                  <w:textInput/>
                </w:ffData>
              </w:fldChar>
            </w:r>
            <w:r>
              <w:rPr/>
              <w:instrText xml:space="preserve"> FORMTEXT </w:instrText>
            </w:r>
            <w:r>
              <w:rPr/>
            </w:r>
            <w:r>
              <w:rPr/>
              <w:fldChar w:fldCharType="separate"/>
            </w:r>
            <w:r>
              <w:rPr/>
              <w:t>$1.98</w:t>
            </w:r>
            <w:r>
              <w:rPr/>
            </w:r>
            <w:r>
              <w:rPr/>
              <w:fldChar w:fldCharType="end"/>
            </w:r>
            <w:r>
              <w:rPr/>
              <w:t xml:space="preserve">; </w:t>
            </w:r>
            <w:r>
              <w:fldChar w:fldCharType="begin">
                <w:ffData>
                  <w:name w:val="trc_QDYear4_a3"/>
                  <w:enabled/>
                  <w:calcOnExit w:val="0"/>
                  <w:textInput/>
                </w:ffData>
              </w:fldChar>
            </w:r>
            <w:r>
              <w:rPr/>
              <w:instrText xml:space="preserve"> FORMTEXT </w:instrText>
            </w:r>
            <w:r>
              <w:rPr/>
            </w:r>
            <w:r>
              <w:rPr/>
              <w:fldChar w:fldCharType="separate"/>
            </w:r>
            <w:r>
              <w:rPr/>
              <w:t>12/03E</w:t>
            </w:r>
            <w:r>
              <w:rPr/>
            </w:r>
            <w:r>
              <w:rPr/>
              <w:fldChar w:fldCharType="end"/>
            </w:r>
            <w:r>
              <w:rPr/>
              <w:t xml:space="preserve"> </w:t>
            </w:r>
            <w:r>
              <w:fldChar w:fldCharType="begin">
                <w:ffData>
                  <w:name w:val="trc_Y4CONSEPS"/>
                  <w:enabled/>
                  <w:calcOnExit w:val="0"/>
                  <w:textInput/>
                </w:ffData>
              </w:fldChar>
            </w:r>
            <w:r>
              <w:rPr/>
              <w:instrText xml:space="preserve"> FORMTEXT </w:instrText>
            </w:r>
            <w:r>
              <w:rPr/>
            </w:r>
            <w:r>
              <w:rPr/>
              <w:fldChar w:fldCharType="separate"/>
            </w:r>
            <w:r>
              <w:rPr/>
              <w:t>NA</w:t>
            </w:r>
            <w:r/>
            <w:r>
              <w:rPr/>
              <w:fldChar w:fldCharType="end"/>
            </w:r>
            <w:r>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OPINION</w:t>
      </w:r>
    </w:p>
    <w:p>
      <w:pPr>
        <w:pStyle w:val="SSBBodyText"/>
        <w:rPr/>
      </w:pPr>
      <w:r>
        <w:rPr/>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SSBBodyHeading"/>
        <w:rPr/>
      </w:pPr>
      <w:bookmarkStart w:id="3" w:name="SSB_ReusableText"/>
      <w:bookmarkStart w:id="4" w:name="SSB_Insert"/>
      <w:bookmarkEnd w:id="3"/>
      <w:bookmarkEnd w:id="4"/>
      <w:r>
        <w:rPr/>
        <w:t>Investment Thesis</w:t>
      </w:r>
    </w:p>
    <w:p>
      <w:pPr>
        <w:pStyle w:val="SSBBodyText"/>
        <w:rPr/>
      </w:pPr>
      <w:bookmarkStart w:id="5" w:name="TRC_THESIS"/>
      <w:r>
        <w:rPr/>
        <w:fldChar w:fldCharType="begin"/>
      </w:r>
      <w:r>
        <w:rPr/>
        <w:instrText xml:space="preserve"> DOCVARIABLE trc_Thesis </w:instrText>
      </w:r>
      <w:r>
        <w:rPr/>
        <w:fldChar w:fldCharType="separate"/>
      </w:r>
      <w:r>
        <w:rPr/>
        <w:t>We rate ENE 1H (Buy, High Risk), and place a 12-18 month price target of $100.  Our price target reflects $60 in implied value for Enron's energy merchant platform and $40 for bandwidth trading and other extensions of their risk merchant franchise (within 5 years, we see the value of bandwidth trading exceeding the entire value of energy marketing).  Further enhancing ENE's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w:t>
      </w:r>
      <w:r>
        <w:rPr/>
        <w:fldChar w:fldCharType="end"/>
      </w:r>
      <w:bookmarkEnd w:id="5"/>
    </w:p>
    <w:p>
      <w:pPr>
        <w:pStyle w:val="SSBBodyHeading"/>
        <w:rPr/>
      </w:pPr>
      <w:r>
        <w:rPr/>
        <w:t>Company Description</w:t>
      </w:r>
    </w:p>
    <w:p>
      <w:pPr>
        <w:pStyle w:val="SSBBodyText"/>
        <w:rPr/>
      </w:pPr>
      <w:bookmarkStart w:id="6" w:name="TRC_DESCRIPTION"/>
      <w:r>
        <w:rPr/>
        <w:fldChar w:fldCharType="begin"/>
      </w:r>
      <w:r>
        <w:rPr/>
        <w:instrText xml:space="preserve"> DOCVARIABLE trc_Description </w:instrText>
      </w:r>
      <w:r>
        <w:rPr/>
        <w:fldChar w:fldCharType="separate"/>
      </w:r>
      <w:r>
        <w:rPr/>
        <w:t>Enron is the leading Risk Merchant.  Traditionally considered a natural gas pipeline company, Enron's core business is now the management of price risk in fast-growing and deregulating commodity markets.  The Risk Merchant franchise accounts for 75% of operating income, and is growing at a 30%-40% annual rate.  Enron grows by expanding this business model into new geographies and commodities.  Market shares: No. 1 in relatively mature $80 billion U.S. natural gas market; No. 1 in $235 billion U.S. electricity market, opened in 1996 and rapidly growing. Enron also has first mover advantage in the $270 billion European market, opened in February 1999, where it is already profitable and has seen volumes grow ten-fold.  We expect Enron will solidify its position by using the Internet; EnronOnline already drives over half of total commodity volumes.  Finally, we expect Enron to successfully develop the bandwidth commodity market, where it already has first mover advantage.</w:t>
      </w:r>
      <w:r>
        <w:rPr/>
        <w:fldChar w:fldCharType="end"/>
      </w:r>
      <w:bookmarkEnd w:id="6"/>
    </w:p>
    <w:p>
      <w:pPr>
        <w:pStyle w:val="Normal"/>
        <w:rPr/>
      </w:pPr>
      <w:r>
        <w:rPr/>
      </w:r>
      <w:bookmarkStart w:id="7" w:name="SSB_ReusableText"/>
      <w:bookmarkStart w:id="8" w:name="SSB_ReusableText"/>
      <w:bookmarkEnd w:id="8"/>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FirstCall"/>
        <w:rPr/>
      </w:pP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pPr>
      <w:r>
        <w:fldChar w:fldCharType="begin">
          <w:ffData>
            <w:name w:val="TRC_HEDGE"/>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
        <w:rPr>
          <w:sz w:val="14"/>
        </w:rPr>
      </w:pPr>
      <w:r>
        <w:rPr/>
      </w:r>
      <w:r>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Mar 2001"/>
    <w:docVar w:name="trc_AnalystEmail1" w:val="ray.niles@ssmb.com"/>
    <w:docVar w:name="trc_AnalystEmail2" w:val="NULL"/>
    <w:docVar w:name="trc_AnalystEmail3" w:val="NULL"/>
    <w:docVar w:name="trc_AnalystID" w:val="rn95785"/>
    <w:docVar w:name="trc_AnalystID_Sec1" w:val="bm58212"/>
    <w:docVar w:name="trc_AnalystID_Sec2" w:val="NULL"/>
    <w:docVar w:name="trc_AnalystName1" w:val="Raymond Niles"/>
    <w:docVar w:name="trc_AnalystName2" w:val="Benjamin Morton"/>
    <w:docVar w:name="trc_AnalystName3" w:val="NULL"/>
    <w:docVar w:name="trc_AnalystPhone1" w:val="212-816-2807"/>
    <w:docVar w:name="trc_AnalystPhone2" w:val="212-816-2086"/>
    <w:docVar w:name="trc_AnalystPhone3" w:val="NULL"/>
    <w:docVar w:name="trc_blastvm" w:val="True"/>
    <w:docVar w:name="trc_CalYear1" w:val="NULL"/>
    <w:docVar w:name="trc_CalYear2" w:val="NULL"/>
    <w:docVar w:name="trc_CalYear3" w:val="NULL"/>
    <w:docVar w:name="trc_CalYear4" w:val="NULL"/>
    <w:docVar w:name="trc_comments" w:val="MORNING CALL"/>
    <w:docVar w:name="trc_companyname" w:val="Enron Corporation"/>
    <w:docVar w:name="trc_CONVERTIBLE" w:val="No"/>
    <w:docVar w:name="trc_CurFY" w:val="2001"/>
    <w:docVar w:name="trc_CurrentPrice" w:val="52.20"/>
    <w:docVar w:name="trc_CurrentPrice_P" w:val="52.20"/>
    <w:docVar w:name="trc_DateOfSubmission" w:val="05/18/2001 5:27:20 PM"/>
    <w:docVar w:name="trc_Description" w:val="Enron is the leading Risk Merchant.  Traditionally considered a natural gas pipeline company, Enron's core business is now the management of price risk in fast-growing and deregulating commodity markets.  The Risk Merchant franchise accounts for 75% of operating income, and is growing at a 30%-40% annual rate.  Enron grows by expanding this business model into new geographies and commodities.  Market shares: No. 1 in relatively mature $80 billion U.S. natural gas market; No. 1 in $235 billion U.S. electricity market, opened in 1996 and rapidly growing. Enron also has first mover advantage in the $270 billion European market, opened in February 1999, where it is already profitable and has seen volumes grow ten-fold.  We expect Enron will solidify its position by using the Internet; EnronOnline already drives over half of total commodity volumes.  Finally, we expect Enron to successfully develop the bandwidth commodity market, where it already has first mover advantage."/>
    <w:docVar w:name="trc_DOC_NOTE_ProtectDate" w:val="05/18/2001 2:48:44 PM"/>
    <w:docVar w:name="trc_DocID" w:val="42246"/>
    <w:docVar w:name="trc_DocumentType" w:val="2"/>
    <w:docVar w:name="trc_EPSGR" w:val="0.2"/>
    <w:docVar w:name="trc_EPSGR_P" w:val="0.2"/>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NULL"/>
    <w:docVar w:name="trc_FtNote3" w:val="NULL"/>
    <w:docVar w:name="trc_FtNote4" w:val="NULL"/>
    <w:docVar w:name="trc_FYEnd" w:val="Dec"/>
    <w:docVar w:name="trc_FYEnd_p" w:val="Dec"/>
    <w:docVar w:name="trc_FYEndMonthIndex" w:val="12"/>
    <w:docVar w:name="trc_headline" w:val="ENE: REITERATE BUY; BELIEVE LEADERSHIP INTACT"/>
    <w:docVar w:name="trc_headline_display" w:val="REITERATE BUY; BELIEVE LEADERSHIP INTACT"/>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NE is in the S&amp;P 500® Index."/>
    <w:docVar w:name="trc_industry" w:val="Power &amp; Natural Gas"/>
    <w:docVar w:name="trc_industry_Sub" w:val="NULL"/>
    <w:docVar w:name="trc_IndustryID" w:val="121130"/>
    <w:docVar w:name="trc_IsDescription" w:val="True"/>
    <w:docVar w:name="trc_IsDropCoverage" w:val="False"/>
    <w:docVar w:name="trc_IsEstimateChange" w:val="False"/>
    <w:docVar w:name="trc_IsNewCoverage" w:val="False"/>
    <w:docVar w:name="trc_IsRatingChange" w:val="False"/>
    <w:docVar w:name="trc_IsTargetChange" w:val="False"/>
    <w:docVar w:name="trc_IsThesis" w:val="True"/>
    <w:docVar w:name="trc_LastActualQuarte" w:val="Q1"/>
    <w:docVar w:name="trc_ltepsgrowth" w:val="NULL"/>
    <w:docVar w:name="trc_MCDate" w:val="05/21/2001 8:00:00 AM"/>
    <w:docVar w:name="trc_MKTCAP" w:val="37824.1"/>
    <w:docVar w:name="trc_MktCap_U" w:val="mil."/>
    <w:docVar w:name="trc_morningcall" w:val="True"/>
    <w:docVar w:name="trc_OPTIONS" w:val="NULL"/>
    <w:docVar w:name="trc_Other51" w:val="NULL"/>
    <w:docVar w:name="trc_Other52" w:val="NULL"/>
    <w:docVar w:name="trc_Other53" w:val="NULL"/>
    <w:docVar w:name="trc_Other54" w:val="NULL"/>
    <w:docVar w:name="trc_OtherCompanies" w:val="NULL"/>
    <w:docVar w:name="trc_OtherIndustryIDs" w:val="NULL"/>
    <w:docVar w:name="trc_Pages" w:val="2"/>
    <w:docVar w:name="trc_PRICEDATE" w:val="05/17/2001"/>
    <w:docVar w:name="trc_priority" w:val="2"/>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1"/>
    <w:docVar w:name="trc_RATING_P" w:val="1"/>
    <w:docVar w:name="trc_RATINGDATE" w:val="11/19/1999 6:29:05 PM"/>
    <w:docVar w:name="trc_RATINGDESC" w:val="Buy"/>
    <w:docVar w:name="trc_RatingID" w:val="1"/>
    <w:docVar w:name="trc_releasedate" w:val="05/18/2001"/>
    <w:docVar w:name="trc_Risk" w:val="H"/>
    <w:docVar w:name="trc_Risk_P" w:val="H"/>
    <w:docVar w:name="trc_RISKDESC" w:val="High Risk"/>
    <w:docVar w:name="trc_RiskID" w:val="13"/>
    <w:docVar w:name="trc_SecurityID" w:val="NULL"/>
    <w:docVar w:name="trc_SharesOut" w:val="724.6"/>
    <w:docVar w:name="trc_SharesOut_U" w:val="mil."/>
    <w:docVar w:name="trc_StatusMark" w:val="NONE"/>
    <w:docVar w:name="trc_SubjectIDs" w:val="COM"/>
    <w:docVar w:name="trc_submitter" w:val="jw70769"/>
    <w:docVar w:name="trc_submittername" w:val="Jonathan Welles"/>
    <w:docVar w:name="trc_submitterphone" w:val="415-951-1885"/>
    <w:docVar w:name="trc_target" w:val="100.00"/>
    <w:docVar w:name="trc_target_P" w:val="100.00"/>
    <w:docVar w:name="trc_TemplateID" w:val="2"/>
    <w:docVar w:name="trc_TEV" w:val="NULL"/>
    <w:docVar w:name="trc_TEV_u" w:val="mil."/>
    <w:docVar w:name="trc_Thesis" w:val="We rate ENE 1H (Buy, High Risk), and place a 12-18 month price target of $100.  Our price target reflects $60 in implied value for Enron's energy merchant platform and $40 for bandwidth trading and other extensions of their risk merchant franchise (within 5 years, we see the value of bandwidth trading exceeding the entire value of energy marketing).  Further enhancing ENE's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
    <w:docVar w:name="trc_ticker" w:val="ENE"/>
    <w:docVar w:name="trc_Ticker_P" w:val="ENE:"/>
    <w:docVar w:name="trc_Version" w:val="1"/>
    <w:docVar w:name="trc_WkRng52Hi" w:val="90.00"/>
    <w:docVar w:name="trc_WkRng52Low" w:val="52.20"/>
    <w:docVar w:name="trc_y1" w:val="2000"/>
    <w:docVar w:name="trc_Y1CONSEPS" w:val="1.42"/>
    <w:docVar w:name="trc_y1q1" w:val="0.40"/>
    <w:docVar w:name="trc_y1q1AE" w:val="A"/>
    <w:docVar w:name="trc_y1q2" w:val="0.34"/>
    <w:docVar w:name="trc_y1q2AE" w:val="A"/>
    <w:docVar w:name="trc_y1q3" w:val="0.34"/>
    <w:docVar w:name="trc_y1q3AE" w:val="A"/>
    <w:docVar w:name="trc_y1q4" w:val="0.41"/>
    <w:docVar w:name="trc_y1q4AE" w:val="A"/>
    <w:docVar w:name="trc_y1Total" w:val="1.47"/>
    <w:docVar w:name="trc_y1TotalAE" w:val="A"/>
    <w:docVar w:name="trc_y2" w:val="2001"/>
    <w:docVar w:name="trc_Y2BVPS" w:val="NULL"/>
    <w:docVar w:name="trc_y2CommonEQ" w:val="NULL"/>
    <w:docVar w:name="trc_y2CommonEQ_U" w:val="mil."/>
    <w:docVar w:name="trc_Y2CONSEPS" w:val="1.79"/>
    <w:docVar w:name="trc_Y2CONSEPS_p" w:val="1.79"/>
    <w:docVar w:name="trc_Y2DIVYIELD" w:val="0.01"/>
    <w:docVar w:name="trc_y2DPS" w:val="0.54"/>
    <w:docVar w:name="trc_y2EBITDA" w:val="4290.0"/>
    <w:docVar w:name="trc_y2EBITDA_u" w:val="mil."/>
    <w:docVar w:name="trc_Y2EVTOEBITDA" w:val="NULL"/>
    <w:docVar w:name="trc_Y2LTDCAP" w:val="NULL"/>
    <w:docVar w:name="trc_y2LTDEBT" w:val="10050.1"/>
    <w:docVar w:name="trc_y2LTDEBT_U" w:val="mil."/>
    <w:docVar w:name="trc_Y2PE" w:val="29.0"/>
    <w:docVar w:name="trc_Y2PRICETOBOOK" w:val="NULL"/>
    <w:docVar w:name="trc_y2q1" w:val="0.47"/>
    <w:docVar w:name="trc_y2q1_P" w:val="0.47"/>
    <w:docVar w:name="trc_Y2Q1ae" w:val="A"/>
    <w:docVar w:name="trc_y2q1AE_p" w:val="A"/>
    <w:docVar w:name="trc_y2q2" w:val="NULL"/>
    <w:docVar w:name="trc_y2q2_P" w:val="NULL"/>
    <w:docVar w:name="trc_Y2Q2ae" w:val="E"/>
    <w:docVar w:name="trc_y2q2AE_p" w:val="E"/>
    <w:docVar w:name="trc_y2q3" w:val="NULL"/>
    <w:docVar w:name="trc_y2q3_P" w:val="NULL"/>
    <w:docVar w:name="trc_Y2Q3ae" w:val="E"/>
    <w:docVar w:name="trc_y2q3AE_p" w:val="E"/>
    <w:docVar w:name="trc_y2q4" w:val="NULL"/>
    <w:docVar w:name="trc_y2q4_P" w:val="NULL"/>
    <w:docVar w:name="trc_Y2Q4ae" w:val="E"/>
    <w:docVar w:name="trc_y2q4AE_p" w:val="E"/>
    <w:docVar w:name="trc_y2REVENUE" w:val="202635.2"/>
    <w:docVar w:name="trc_y2REVENUE_U" w:val="mil."/>
    <w:docVar w:name="trc_y2ROE" w:val="0.129"/>
    <w:docVar w:name="trc_y2Total" w:val="1.80"/>
    <w:docVar w:name="trc_y2Total_p" w:val="1.80"/>
    <w:docVar w:name="trc_Y2Totalae" w:val="E"/>
    <w:docVar w:name="trc_y2TotalAE_p" w:val="E"/>
    <w:docVar w:name="trc_y3" w:val="2002"/>
    <w:docVar w:name="trc_Y3CONSEPS" w:val="1.98"/>
    <w:docVar w:name="trc_Y3CONSEPS_p" w:val="1.98"/>
    <w:docVar w:name="trc_y3EBITDA" w:val="5055.0"/>
    <w:docVar w:name="trc_y3EBITDA_U" w:val="mil."/>
    <w:docVar w:name="trc_Y3EVTOEBITDA" w:val="NULL"/>
    <w:docVar w:name="trc_Y3PE" w:val="25.5"/>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2.05"/>
    <w:docVar w:name="trc_y3Total_p" w:val="2.05"/>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2001-05-18T21:57:00Z</dcterms:created>
  <dc:creator>Ray Niles</dc:creator>
  <dc:description/>
  <dc:language>en-CA</dc:language>
  <cp:lastModifiedBy>Robert F Gumina</cp:lastModifiedBy>
  <cp:lastPrinted>2001-05-18T17:13:00Z</cp:lastPrinted>
  <dcterms:modified xsi:type="dcterms:W3CDTF">2001-05-18T19:18:00Z</dcterms:modified>
  <cp:revision>8</cp:revision>
  <dc:subject/>
  <dc:title>ENE_20010518_1</dc:title>
</cp:coreProperties>
</file>