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r>
    </w:p>
    <w:tbl>
      <w:tblPr>
        <w:tblW w:w="9864" w:type="dxa"/>
        <w:jc w:val="start"/>
        <w:tblInd w:w="-2007" w:type="dxa"/>
        <w:tblLayout w:type="fixed"/>
        <w:tblCellMar>
          <w:top w:w="0" w:type="dxa"/>
          <w:start w:w="0" w:type="dxa"/>
          <w:bottom w:w="0" w:type="dxa"/>
          <w:end w:w="0" w:type="dxa"/>
        </w:tblCellMar>
      </w:tblPr>
      <w:tblGrid>
        <w:gridCol w:w="2907"/>
        <w:gridCol w:w="2"/>
        <w:gridCol w:w="3427"/>
        <w:gridCol w:w="3528"/>
      </w:tblGrid>
      <w:tr>
        <w:trPr>
          <w:trHeight w:val="369" w:hRule="atLeast"/>
        </w:trPr>
        <w:tc>
          <w:tcPr>
            <w:tcW w:w="6336" w:type="dxa"/>
            <w:gridSpan w:val="3"/>
            <w:tcBorders/>
          </w:tcPr>
          <w:p>
            <w:pPr>
              <w:pStyle w:val="Normal"/>
              <w:rPr/>
            </w:pPr>
            <w:r>
              <w:fldChar w:fldCharType="begin">
                <w:ffData>
                  <w:name w:val="TRC_COMPANYNAME"/>
                  <w:enabled/>
                  <w:calcOnExit w:val="0"/>
                  <w:textInput/>
                </w:ffData>
              </w:fldChar>
            </w:r>
            <w:r>
              <w:rPr>
                <w:lang w:val="en-CA"/>
              </w:rPr>
              <w:instrText xml:space="preserve"> FORMTEXT </w:instrText>
            </w:r>
            <w:r>
              <w:rPr>
                <w:lang w:val="en-CA"/>
              </w:rPr>
            </w:r>
            <w:r>
              <w:rPr>
                <w:lang w:val="en-CA"/>
              </w:rPr>
              <w:fldChar w:fldCharType="separate"/>
            </w:r>
            <w:r>
              <w:rPr>
                <w:lang w:val="en-CA"/>
              </w:rPr>
              <w:t>Enron Corporation</w:t>
            </w:r>
            <w:r>
              <w:rPr>
                <w:lang w:val="en-CA"/>
              </w:rPr>
            </w:r>
            <w:r>
              <w:rPr>
                <w:lang w:val="en-CA"/>
              </w:rPr>
              <w:fldChar w:fldCharType="end"/>
            </w:r>
            <w:r>
              <w:rPr/>
              <w:t xml:space="preserve"> (</w:t>
            </w:r>
            <w:r>
              <w:fldChar w:fldCharType="begin">
                <w:ffData>
                  <w:name w:val="TRC_TICKER"/>
                  <w:enabled/>
                  <w:calcOnExit w:val="0"/>
                  <w:textInput/>
                </w:ffData>
              </w:fldChar>
            </w:r>
            <w:r>
              <w:rPr>
                <w:lang w:val="en-CA"/>
              </w:rPr>
              <w:instrText xml:space="preserve"> FORMTEXT </w:instrText>
            </w:r>
            <w:r>
              <w:rPr>
                <w:lang w:val="en-CA"/>
              </w:rPr>
            </w:r>
            <w:r>
              <w:rPr>
                <w:lang w:val="en-CA"/>
              </w:rPr>
              <w:fldChar w:fldCharType="separate"/>
            </w:r>
            <w:r>
              <w:rPr>
                <w:lang w:val="en-CA"/>
              </w:rPr>
              <w:t>ENE</w:t>
            </w:r>
            <w:r>
              <w:rPr>
                <w:lang w:val="en-CA"/>
              </w:rPr>
            </w:r>
            <w:r>
              <w:rPr>
                <w:lang w:val="en-CA"/>
              </w:rPr>
              <w:fldChar w:fldCharType="end"/>
            </w:r>
            <w:r>
              <w:rPr/>
              <w:t>)</w:t>
            </w:r>
            <w:r>
              <w:fldChar w:fldCharType="begin">
                <w:ffData>
                  <w:name w:val="trc_IB_Relation"/>
                  <w:enabled/>
                  <w:calcOnExit w:val="0"/>
                  <w:textInput/>
                </w:ffData>
              </w:fldChar>
            </w:r>
            <w:r>
              <w:rPr>
                <w:lang w:val="en-CA"/>
              </w:rPr>
              <w:instrText xml:space="preserve"> FORMTEXT </w:instrText>
            </w:r>
            <w:r>
              <w:rPr>
                <w:lang w:val="en-CA"/>
              </w:rPr>
            </w:r>
            <w:r>
              <w:rPr>
                <w:lang w:val="en-CA"/>
              </w:rPr>
              <w:fldChar w:fldCharType="separate"/>
            </w:r>
            <w:r>
              <w:rPr>
                <w:lang w:val="en-CA"/>
              </w:rPr>
              <w:t>#</w:t>
            </w:r>
            <w:r/>
            <w:r>
              <w:rPr>
                <w:lang w:val="en-CA"/>
              </w:rPr>
              <w:fldChar w:fldCharType="end"/>
            </w:r>
            <w:r>
              <w:rPr>
                <w:lang w:val="en-CA"/>
              </w:rPr>
            </w:r>
          </w:p>
          <w:p>
            <w:pPr>
              <w:pStyle w:val="SSBHeadline"/>
              <w:rPr>
                <w:lang w:val="en-CA"/>
              </w:rPr>
            </w:pPr>
            <w:r>
              <w:fldChar w:fldCharType="begin">
                <w:ffData>
                  <w:name w:val="TRC_HEADLINE"/>
                  <w:enabled/>
                  <w:calcOnExit w:val="0"/>
                  <w:textInput/>
                </w:ffData>
              </w:fldChar>
            </w:r>
            <w:r>
              <w:rPr>
                <w:lang w:val="en-CA"/>
              </w:rPr>
              <w:instrText xml:space="preserve"> FORMTEXT </w:instrText>
            </w:r>
            <w:r>
              <w:rPr>
                <w:lang w:val="en-CA"/>
              </w:rPr>
            </w:r>
            <w:r>
              <w:rPr>
                <w:lang w:val="en-CA"/>
              </w:rPr>
              <w:fldChar w:fldCharType="separate"/>
            </w:r>
            <w:r>
              <w:rPr>
                <w:lang w:val="en-CA"/>
              </w:rPr>
              <w:t>ENE: Detailed 1Q Earnings Analysis following Conf. Call; Reiterate 1H Rating</w:t>
            </w:r>
            <w:r/>
            <w:r>
              <w:rPr>
                <w:lang w:val="en-CA"/>
              </w:rPr>
              <w:fldChar w:fldCharType="end"/>
            </w:r>
            <w:r>
              <w:rPr>
                <w:lang w:val="en-CA"/>
              </w:rPr>
            </w:r>
          </w:p>
        </w:tc>
        <w:tc>
          <w:tcPr>
            <w:tcW w:w="3528" w:type="dxa"/>
            <w:tcBorders/>
            <w:vAlign w:val="bottom"/>
          </w:tcPr>
          <w:p>
            <w:pPr>
              <w:pStyle w:val="SSBBlackLine"/>
              <w:snapToGrid w:val="false"/>
              <w:ind w:start="2421" w:end="0"/>
              <w:rPr/>
            </w:pPr>
            <w:r>
              <w:rPr/>
            </w:r>
          </w:p>
          <w:p>
            <w:pPr>
              <w:pStyle w:val="SSBRating"/>
              <w:rPr/>
            </w:pPr>
            <w:r>
              <w:fldChar w:fldCharType="begin">
                <w:ffData>
                  <w:name w:val="TRC_RATING"/>
                  <w:enabled/>
                  <w:calcOnExit w:val="0"/>
                  <w:textInput/>
                </w:ffData>
              </w:fldChar>
            </w:r>
            <w:r>
              <w:rPr>
                <w:lang w:val="en-CA"/>
              </w:rPr>
              <w:instrText xml:space="preserve"> FORMTEXT </w:instrText>
            </w:r>
            <w:r>
              <w:rPr>
                <w:lang w:val="en-CA"/>
              </w:rPr>
            </w:r>
            <w:r>
              <w:rPr>
                <w:lang w:val="en-CA"/>
              </w:rPr>
              <w:fldChar w:fldCharType="separate"/>
            </w:r>
            <w:r>
              <w:rPr>
                <w:lang w:val="en-CA"/>
              </w:rPr>
              <w:t>1</w:t>
            </w:r>
            <w:r>
              <w:rPr>
                <w:lang w:val="en-CA"/>
              </w:rPr>
            </w:r>
            <w:r>
              <w:rPr>
                <w:lang w:val="en-CA"/>
              </w:rPr>
              <w:fldChar w:fldCharType="end"/>
            </w:r>
            <w:r>
              <w:fldChar w:fldCharType="begin">
                <w:ffData>
                  <w:name w:val="TRC_RISK"/>
                  <w:enabled/>
                  <w:calcOnExit w:val="0"/>
                  <w:textInput/>
                </w:ffData>
              </w:fldChar>
            </w:r>
            <w:r>
              <w:rPr>
                <w:lang w:val="en-CA"/>
              </w:rPr>
              <w:instrText xml:space="preserve"> FORMTEXT </w:instrText>
            </w:r>
            <w:r>
              <w:rPr>
                <w:lang w:val="en-CA"/>
              </w:rPr>
            </w:r>
            <w:r>
              <w:rPr>
                <w:lang w:val="en-CA"/>
              </w:rPr>
              <w:fldChar w:fldCharType="separate"/>
            </w:r>
            <w:r>
              <w:rPr>
                <w:lang w:val="en-CA"/>
              </w:rPr>
              <w:t>H</w:t>
            </w:r>
            <w:r>
              <w:rPr>
                <w:lang w:val="en-CA"/>
              </w:rPr>
            </w:r>
            <w:r>
              <w:rPr>
                <w:lang w:val="en-CA"/>
              </w:rPr>
              <w:fldChar w:fldCharType="end"/>
            </w:r>
            <w:r>
              <w:rPr>
                <w:rStyle w:val="SSBRatingDescription"/>
              </w:rPr>
              <w:t xml:space="preserve"> (</w:t>
            </w:r>
            <w:r>
              <w:fldChar w:fldCharType="begin">
                <w:ffData>
                  <w:name w:val="TRC_RATINGDESC"/>
                  <w:enabled/>
                  <w:calcOnExit w:val="0"/>
                  <w:textInput/>
                </w:ffData>
              </w:fldChar>
            </w:r>
            <w:r>
              <w:rPr>
                <w:rStyle w:val="SSBRatingDescription"/>
                <w:lang w:val="en-CA"/>
              </w:rPr>
              <w:instrText xml:space="preserve"> FORMTEXT </w:instrText>
            </w:r>
            <w:r>
              <w:rPr>
                <w:rStyle w:val="SSBRatingDescription"/>
                <w:lang w:val="en-CA"/>
              </w:rPr>
            </w:r>
            <w:r>
              <w:rPr>
                <w:rStyle w:val="SSBRatingDescription"/>
                <w:lang w:val="en-CA"/>
              </w:rPr>
              <w:fldChar w:fldCharType="separate"/>
            </w:r>
            <w:r>
              <w:rPr>
                <w:rStyle w:val="SSBRatingDescription"/>
                <w:lang w:val="en-CA"/>
              </w:rPr>
              <w:t>Buy</w:t>
            </w:r>
            <w:r>
              <w:rPr>
                <w:rStyle w:val="SSBRatingDescription"/>
                <w:lang w:val="en-CA"/>
              </w:rPr>
            </w:r>
            <w:r>
              <w:rPr>
                <w:rStyle w:val="SSBRatingDescription"/>
                <w:lang w:val="en-CA"/>
              </w:rPr>
              <w:fldChar w:fldCharType="end"/>
            </w:r>
            <w:r>
              <w:rPr>
                <w:rStyle w:val="SSBRatingDescription"/>
              </w:rPr>
              <w:t xml:space="preserve">, </w:t>
            </w:r>
            <w:r>
              <w:fldChar w:fldCharType="begin">
                <w:ffData>
                  <w:name w:val="TRC_RISKDESC"/>
                  <w:enabled/>
                  <w:calcOnExit w:val="0"/>
                  <w:textInput/>
                </w:ffData>
              </w:fldChar>
            </w:r>
            <w:r>
              <w:rPr>
                <w:rStyle w:val="SSBRatingDescription"/>
                <w:lang w:val="en-CA"/>
              </w:rPr>
              <w:instrText xml:space="preserve"> FORMTEXT </w:instrText>
            </w:r>
            <w:r>
              <w:rPr>
                <w:rStyle w:val="SSBRatingDescription"/>
                <w:lang w:val="en-CA"/>
              </w:rPr>
            </w:r>
            <w:r>
              <w:rPr>
                <w:rStyle w:val="SSBRatingDescription"/>
                <w:lang w:val="en-CA"/>
              </w:rPr>
              <w:fldChar w:fldCharType="separate"/>
            </w:r>
            <w:r>
              <w:rPr>
                <w:rStyle w:val="SSBRatingDescription"/>
                <w:lang w:val="en-CA"/>
              </w:rPr>
              <w:t>High Risk</w:t>
            </w:r>
            <w:r>
              <w:rPr>
                <w:rStyle w:val="SSBRatingDescription"/>
                <w:lang w:val="en-CA"/>
              </w:rPr>
            </w:r>
            <w:r>
              <w:rPr>
                <w:rStyle w:val="SSBRatingDescription"/>
                <w:lang w:val="en-CA"/>
              </w:rPr>
              <w:fldChar w:fldCharType="end"/>
            </w:r>
            <w:r>
              <w:rPr>
                <w:rStyle w:val="SSBRatingDescription"/>
              </w:rPr>
              <w:t>)</w:t>
            </w:r>
          </w:p>
          <w:p>
            <w:pPr>
              <w:pStyle w:val="SSBMarketCap"/>
              <w:rPr/>
            </w:pPr>
            <w:r>
              <w:rPr/>
              <w:t xml:space="preserve">Mkt Cap:  </w:t>
            </w:r>
            <w:r>
              <w:fldChar w:fldCharType="begin">
                <w:ffData>
                  <w:name w:val="TRC_MKTCAP"/>
                  <w:enabled/>
                  <w:calcOnExit w:val="0"/>
                  <w:textInput/>
                </w:ffData>
              </w:fldChar>
            </w:r>
            <w:r>
              <w:rPr>
                <w:rStyle w:val="SSBMarketCapNumber"/>
                <w:lang w:val="en-CA"/>
              </w:rPr>
              <w:instrText xml:space="preserve"> FORMTEXT </w:instrText>
            </w:r>
            <w:r>
              <w:rPr>
                <w:rStyle w:val="SSBMarketCapNumber"/>
                <w:lang w:val="en-CA"/>
              </w:rPr>
            </w:r>
            <w:r>
              <w:rPr>
                <w:rStyle w:val="SSBMarketCapNumber"/>
                <w:lang w:val="en-CA"/>
              </w:rPr>
              <w:fldChar w:fldCharType="separate"/>
            </w:r>
            <w:r>
              <w:rPr>
                <w:rStyle w:val="SSBMarketCapNumber"/>
                <w:lang w:val="en-CA"/>
              </w:rPr>
              <w:t>$43,070.2</w:t>
            </w:r>
            <w:r>
              <w:rPr>
                <w:rStyle w:val="SSBMarketCapNumber"/>
                <w:lang w:val="en-CA"/>
              </w:rPr>
            </w:r>
            <w:r>
              <w:rPr>
                <w:rStyle w:val="SSBMarketCapNumber"/>
                <w:lang w:val="en-CA"/>
              </w:rPr>
              <w:fldChar w:fldCharType="end"/>
            </w:r>
            <w:r>
              <w:rPr>
                <w:rStyle w:val="SSBMarketCapNumber"/>
              </w:rPr>
              <w:t xml:space="preserve"> </w:t>
            </w:r>
            <w:r>
              <w:fldChar w:fldCharType="begin">
                <w:ffData>
                  <w:name w:val="TRC_MKTCAP_U"/>
                  <w:enabled/>
                  <w:calcOnExit w:val="0"/>
                  <w:textInput/>
                </w:ffData>
              </w:fldChar>
            </w:r>
            <w:r>
              <w:rPr>
                <w:rStyle w:val="SSBMarketCapNumber"/>
                <w:lang w:val="en-CA"/>
              </w:rPr>
              <w:instrText xml:space="preserve"> FORMTEXT </w:instrText>
            </w:r>
            <w:r>
              <w:rPr>
                <w:rStyle w:val="SSBMarketCapNumber"/>
                <w:lang w:val="en-CA"/>
              </w:rPr>
            </w:r>
            <w:r>
              <w:rPr>
                <w:rStyle w:val="SSBMarketCapNumber"/>
                <w:lang w:val="en-CA"/>
              </w:rPr>
              <w:fldChar w:fldCharType="separate"/>
            </w:r>
            <w:r>
              <w:rPr>
                <w:rStyle w:val="SSBMarketCapNumber"/>
                <w:lang w:val="en-CA"/>
              </w:rPr>
              <w:t>mil.</w:t>
            </w:r>
            <w:r/>
            <w:r>
              <w:rPr>
                <w:rStyle w:val="SSBMarketCapNumber"/>
                <w:lang w:val="en-CA"/>
              </w:rPr>
              <w:fldChar w:fldCharType="end"/>
            </w:r>
            <w:r>
              <w:rPr>
                <w:rStyle w:val="SSBMarketCapNumber"/>
                <w:lang w:val="en-CA"/>
              </w:rPr>
            </w:r>
          </w:p>
        </w:tc>
      </w:tr>
      <w:tr>
        <w:trPr>
          <w:trHeight w:val="120" w:hRule="exact"/>
        </w:trPr>
        <w:tc>
          <w:tcPr>
            <w:tcW w:w="2909" w:type="dxa"/>
            <w:gridSpan w:val="2"/>
            <w:tcBorders/>
          </w:tcPr>
          <w:p>
            <w:pPr>
              <w:pStyle w:val="Normal"/>
              <w:snapToGrid w:val="false"/>
              <w:rPr/>
            </w:pPr>
            <w:r>
              <w:rPr/>
            </w:r>
          </w:p>
        </w:tc>
        <w:tc>
          <w:tcPr>
            <w:tcW w:w="6955" w:type="dxa"/>
            <w:gridSpan w:val="2"/>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gridSpan w:val="2"/>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lang w:val="en-CA"/>
              </w:rPr>
            </w:pPr>
            <w:r>
              <w:fldChar w:fldCharType="begin">
                <w:ffData>
                  <w:name w:val="TRC_RELEASEDATE"/>
                  <w:enabled/>
                  <w:calcOnExit w:val="0"/>
                  <w:textInput/>
                </w:ffData>
              </w:fldChar>
            </w:r>
            <w:r>
              <w:rPr>
                <w:lang w:val="en-CA"/>
              </w:rPr>
              <w:instrText xml:space="preserve"> FORMTEXT </w:instrText>
            </w:r>
            <w:r>
              <w:rPr>
                <w:lang w:val="en-CA"/>
              </w:rPr>
            </w:r>
            <w:r>
              <w:rPr>
                <w:lang w:val="en-CA"/>
              </w:rPr>
              <w:fldChar w:fldCharType="separate"/>
            </w:r>
            <w:r>
              <w:rPr>
                <w:lang w:val="en-CA"/>
              </w:rPr>
              <w:t>April 17, 2001</w:t>
            </w:r>
            <w:r/>
            <w:r>
              <w:rPr>
                <w:lang w:val="en-CA"/>
              </w:rPr>
              <w:fldChar w:fldCharType="end"/>
            </w:r>
            <w:r>
              <w:rPr>
                <w:lang w:val="en-CA"/>
              </w:rPr>
            </w:r>
          </w:p>
          <w:p>
            <w:pPr>
              <w:pStyle w:val="SSBBlackLine"/>
              <w:ind w:end="1890"/>
              <w:rPr/>
            </w:pPr>
            <w:r>
              <w:rPr/>
            </w:r>
          </w:p>
          <w:p>
            <w:pPr>
              <w:pStyle w:val="SSBHeading"/>
              <w:rPr>
                <w:lang w:val="en-CA"/>
              </w:rPr>
            </w:pPr>
            <w:r>
              <w:fldChar w:fldCharType="begin">
                <w:ffData>
                  <w:name w:val="trc_industry"/>
                  <w:enabled/>
                  <w:calcOnExit w:val="0"/>
                  <w:textInput/>
                </w:ffData>
              </w:fldChar>
            </w:r>
            <w:r>
              <w:rPr>
                <w:lang w:val="en-CA"/>
              </w:rPr>
              <w:instrText xml:space="preserve"> FORMTEXT </w:instrText>
            </w:r>
            <w:r>
              <w:rPr>
                <w:lang w:val="en-CA"/>
              </w:rPr>
            </w:r>
            <w:r>
              <w:rPr>
                <w:lang w:val="en-CA"/>
              </w:rPr>
              <w:fldChar w:fldCharType="separate"/>
            </w:r>
            <w:r>
              <w:rPr>
                <w:lang w:val="en-CA"/>
              </w:rPr>
              <w:t>Power &amp; Natural Gas</w:t>
            </w:r>
            <w:r/>
            <w:r>
              <w:rPr>
                <w:lang w:val="en-CA"/>
              </w:rPr>
              <w:fldChar w:fldCharType="end"/>
            </w:r>
            <w:r>
              <w:rPr>
                <w:lang w:val="en-CA"/>
              </w:rPr>
            </w:r>
          </w:p>
          <w:p>
            <w:pPr>
              <w:pStyle w:val="SSBAnalystNam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lang w:val="en-CA"/>
              </w:rPr>
            </w:pPr>
            <w:r>
              <w:fldChar w:fldCharType="begin">
                <w:ffData>
                  <w:name w:val="TRC_ANALYSTPHONE1"/>
                  <w:enabled/>
                  <w:calcOnExit w:val="0"/>
                  <w:textInput/>
                </w:ffData>
              </w:fldChar>
            </w:r>
            <w:r>
              <w:rPr>
                <w:lang w:val="en-CA"/>
              </w:rPr>
              <w:instrText xml:space="preserve"> FORMTEXT </w:instrText>
            </w:r>
            <w:r>
              <w:rPr>
                <w:lang w:val="en-CA"/>
              </w:rPr>
            </w:r>
            <w:r>
              <w:rPr>
                <w:lang w:val="en-CA"/>
              </w:rPr>
              <w:fldChar w:fldCharType="separate"/>
            </w:r>
            <w:r>
              <w:rPr>
                <w:lang w:val="en-CA"/>
              </w:rPr>
              <w:t>212-816-2807</w:t>
            </w:r>
            <w:r/>
            <w:r>
              <w:rPr>
                <w:lang w:val="en-CA"/>
              </w:rPr>
              <w:fldChar w:fldCharType="end"/>
            </w:r>
            <w:r>
              <w:rPr>
                <w:lang w:val="en-CA"/>
              </w:rPr>
            </w:r>
          </w:p>
          <w:p>
            <w:pPr>
              <w:pStyle w:val="SSBAnalystEmail"/>
              <w:rPr>
                <w:lang w:val="en-CA"/>
              </w:rPr>
            </w:pPr>
            <w:r>
              <w:fldChar w:fldCharType="begin">
                <w:ffData>
                  <w:name w:val="TRC_ANALYSTEMAIL1"/>
                  <w:enabled/>
                  <w:calcOnExit w:val="0"/>
                  <w:textInput/>
                </w:ffData>
              </w:fldChar>
            </w:r>
            <w:r>
              <w:rPr>
                <w:lang w:val="en-CA"/>
              </w:rPr>
              <w:instrText xml:space="preserve"> FORMTEXT </w:instrText>
            </w:r>
            <w:r>
              <w:rPr>
                <w:lang w:val="en-CA"/>
              </w:rPr>
            </w:r>
            <w:r>
              <w:rPr>
                <w:lang w:val="en-CA"/>
              </w:rPr>
              <w:fldChar w:fldCharType="separate"/>
            </w:r>
            <w:r>
              <w:rPr>
                <w:lang w:val="en-CA"/>
              </w:rPr>
              <w:t>ray.niles@ssmb.com</w:t>
            </w:r>
            <w:r/>
            <w:r>
              <w:rPr>
                <w:lang w:val="en-CA"/>
              </w:rPr>
              <w:fldChar w:fldCharType="end"/>
            </w:r>
            <w:r>
              <w:rPr>
                <w:lang w:val="en-CA"/>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Benjamin Morton</w:t>
            </w:r>
            <w:r/>
            <w:r>
              <w:rPr>
                <w:b w:val="false"/>
              </w:rPr>
              <w:fldChar w:fldCharType="end"/>
            </w:r>
            <w:r>
              <w:rPr>
                <w:b w:val="false"/>
              </w:rPr>
            </w:r>
          </w:p>
          <w:p>
            <w:pPr>
              <w:pStyle w:val="SSBAnalystPhone"/>
              <w:rPr/>
            </w:pPr>
            <w:r>
              <w:fldChar w:fldCharType="begin">
                <w:ffData>
                  <w:name w:val="TRC_ANALYSTPHONE2"/>
                  <w:enabled/>
                  <w:calcOnExit w:val="0"/>
                  <w:textInput/>
                </w:ffData>
              </w:fldChar>
            </w:r>
            <w:r>
              <w:rPr>
                <w:lang w:val="en-CA"/>
              </w:rPr>
              <w:instrText xml:space="preserve"> FORMTEXT </w:instrText>
            </w:r>
            <w:r>
              <w:rPr>
                <w:lang w:val="en-CA"/>
              </w:rPr>
            </w:r>
            <w:r>
              <w:rPr>
                <w:lang w:val="en-CA"/>
              </w:rPr>
              <w:fldChar w:fldCharType="separate"/>
            </w:r>
            <w:r>
              <w:rPr>
                <w:lang w:val="en-CA"/>
              </w:rPr>
              <w:t>212-816-2086</w:t>
            </w:r>
            <w:r/>
            <w:r>
              <w:rPr>
                <w:lang w:val="en-CA"/>
              </w:rPr>
              <w:fldChar w:fldCharType="end"/>
            </w:r>
            <w:r>
              <w:rPr>
                <w:lang w:val="en-CA"/>
              </w:rPr>
            </w:r>
          </w:p>
          <w:p>
            <w:pPr>
              <w:pStyle w:val="SSBAnalystEmail"/>
              <w:rPr>
                <w:vanish/>
                <w:lang w:val="en-CA"/>
              </w:rPr>
            </w:pPr>
            <w:r>
              <w:fldChar w:fldCharType="begin">
                <w:ffData>
                  <w:name w:val="TRC_ANALYSTEMAIL2"/>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     </w:t>
            </w:r>
            <w:r/>
            <w:r>
              <w:rPr>
                <w:vanish/>
                <w:lang w:val="en-CA"/>
              </w:rPr>
              <w:fldChar w:fldCharType="end"/>
            </w:r>
            <w:r>
              <w:rPr>
                <w:vanish/>
                <w:lang w:val="en-CA"/>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r>
            <w:r/>
            <w:r>
              <w:rPr>
                <w:b w:val="false"/>
              </w:rPr>
              <w:fldChar w:fldCharType="end"/>
            </w:r>
            <w:r>
              <w:rPr>
                <w:b w:val="false"/>
              </w:rPr>
            </w:r>
          </w:p>
          <w:p>
            <w:pPr>
              <w:pStyle w:val="SSBAnalystPhone"/>
              <w:rPr/>
            </w:pPr>
            <w:r>
              <w:fldChar w:fldCharType="begin">
                <w:ffData>
                  <w:name w:val="TRC_ANALYSTPHONE3"/>
                  <w:enabled/>
                  <w:calcOnExit w:val="0"/>
                  <w:textInput/>
                </w:ffData>
              </w:fldChar>
            </w:r>
            <w:r>
              <w:rPr/>
              <w:instrText xml:space="preserve"> FORMTEXT </w:instrText>
            </w:r>
            <w:r>
              <w:rPr/>
            </w:r>
            <w:r>
              <w:rPr/>
              <w:fldChar w:fldCharType="separate"/>
            </w:r>
            <w:r>
              <w:rPr/>
            </w:r>
            <w:r/>
            <w:r>
              <w:rPr/>
              <w:fldChar w:fldCharType="end"/>
            </w:r>
            <w:r>
              <w:rPr/>
            </w:r>
          </w:p>
          <w:p>
            <w:pPr>
              <w:pStyle w:val="SSBAnalystEmail"/>
              <w:rPr>
                <w:vanish/>
                <w:lang w:val="en-CA"/>
              </w:rPr>
            </w:pPr>
            <w:r>
              <w:fldChar w:fldCharType="begin">
                <w:ffData>
                  <w:name w:val="TRC_ANALYSTEMAIL3"/>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     </w:t>
            </w:r>
            <w:r/>
            <w:r>
              <w:rPr>
                <w:vanish/>
                <w:lang w:val="en-CA"/>
              </w:rPr>
              <w:fldChar w:fldCharType="end"/>
            </w:r>
            <w:r>
              <w:rPr>
                <w:vanish/>
                <w:lang w:val="en-CA"/>
              </w:rPr>
            </w:r>
          </w:p>
        </w:tc>
        <w:tc>
          <w:tcPr>
            <w:tcW w:w="6957" w:type="dxa"/>
            <w:gridSpan w:val="3"/>
            <w:tcBorders/>
          </w:tcPr>
          <w:p>
            <w:pPr>
              <w:pStyle w:val="SSBSummaryHeading"/>
              <w:rPr/>
            </w:pPr>
            <w:r>
              <w:rPr/>
              <w:t>SUMMARY</w:t>
            </w:r>
          </w:p>
          <w:p>
            <w:pPr>
              <w:pStyle w:val="SSBSummary"/>
              <w:numPr>
                <w:ilvl w:val="0"/>
                <w:numId w:val="1"/>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ENE reported 1Q:01 EPS of $0.47 vs. $0.40 last year, above our and consensus estimates of $0.43 and $0.45, respectively.</w:t>
            </w:r>
            <w:r>
              <w:rPr>
                <w:lang w:val="en-CA"/>
              </w:rPr>
            </w:r>
          </w:p>
          <w:p>
            <w:pPr>
              <w:pStyle w:val="SSBSummary"/>
              <w:numPr>
                <w:ilvl w:val="0"/>
                <w:numId w:val="1"/>
              </w:numPr>
              <w:ind w:hanging="0" w:start="0"/>
              <w:rPr>
                <w:lang w:val="en-CA"/>
              </w:rPr>
            </w:pPr>
            <w:r>
              <w:rPr>
                <w:lang w:val="en-CA"/>
              </w:rPr>
              <w:t>We raised our 2001 est. to $1.80 based on confidence in continued strong growth in wholesale segment, as well as incremental contribution from retail energy.  Company raised 2001 guidance by $0.05 to $1.75-$1.80.</w:t>
            </w:r>
          </w:p>
          <w:p>
            <w:pPr>
              <w:pStyle w:val="SSBSummary"/>
              <w:numPr>
                <w:ilvl w:val="0"/>
                <w:numId w:val="1"/>
              </w:numPr>
              <w:ind w:hanging="0" w:start="0"/>
              <w:rPr>
                <w:lang w:val="en-CA"/>
              </w:rPr>
            </w:pPr>
            <w:r>
              <w:rPr>
                <w:lang w:val="en-CA"/>
              </w:rPr>
              <w:t>Highlights: Merchant Energy-- Wholesale volumes up 65%, ahead of our 40%-50% expectation, driven by growing need for intermediation services and continuing impact of EnronOnline. Segment IBIT up 76% with higher unit margins reflecting volatility running at twice last year's level, by our calculation.  Expect full year 2001 volatility to match 2000 level.</w:t>
            </w:r>
          </w:p>
          <w:p>
            <w:pPr>
              <w:pStyle w:val="SSBSummary"/>
              <w:numPr>
                <w:ilvl w:val="0"/>
                <w:numId w:val="1"/>
              </w:numPr>
              <w:ind w:hanging="0" w:start="0"/>
              <w:rPr>
                <w:lang w:val="en-CA"/>
              </w:rPr>
            </w:pPr>
            <w:r>
              <w:rPr>
                <w:lang w:val="en-CA"/>
              </w:rPr>
              <w:t>Bandwidth trading--"deals are getting done"  above expectations:  580 transactions 1Q01 vs. 232 in 4Q:00 and 320 for full year 2000.</w:t>
            </w:r>
          </w:p>
          <w:p>
            <w:pPr>
              <w:pStyle w:val="SSBSummary"/>
              <w:numPr>
                <w:ilvl w:val="0"/>
                <w:numId w:val="1"/>
              </w:numPr>
              <w:spacing w:before="0" w:after="60"/>
              <w:ind w:hanging="0" w:start="0"/>
              <w:rPr/>
            </w:pPr>
            <w:r>
              <w:rPr>
                <w:lang w:val="en-CA"/>
              </w:rPr>
              <w:t>Results include reserve for $580M in receivables owed from PCG in Calif.</w:t>
            </w:r>
            <w:r/>
            <w:r>
              <w:rPr>
                <w:lang w:val="en-CA"/>
              </w:rPr>
              <w:fldChar w:fldCharType="end"/>
            </w:r>
            <w:r>
              <w:rPr>
                <w:lang w:val="en-CA"/>
              </w:rPr>
            </w:r>
          </w:p>
        </w:tc>
      </w:tr>
      <w:tr>
        <w:trPr>
          <w:trHeight w:val="120" w:hRule="exact"/>
        </w:trPr>
        <w:tc>
          <w:tcPr>
            <w:tcW w:w="2909" w:type="dxa"/>
            <w:gridSpan w:val="2"/>
            <w:tcBorders>
              <w:bottom w:val="single" w:sz="12" w:space="0" w:color="808080"/>
            </w:tcBorders>
          </w:tcPr>
          <w:p>
            <w:pPr>
              <w:pStyle w:val="Normal"/>
              <w:snapToGrid w:val="false"/>
              <w:rPr>
                <w:caps/>
                <w:sz w:val="24"/>
              </w:rPr>
            </w:pPr>
            <w:r>
              <w:rPr>
                <w:caps/>
                <w:sz w:val="24"/>
              </w:rPr>
            </w:r>
          </w:p>
        </w:tc>
        <w:tc>
          <w:tcPr>
            <w:tcW w:w="6955" w:type="dxa"/>
            <w:gridSpan w:val="2"/>
            <w:tcBorders>
              <w:bottom w:val="single" w:sz="12" w:space="0" w:color="808080"/>
            </w:tcBorders>
          </w:tcPr>
          <w:p>
            <w:pPr>
              <w:pStyle w:val="Normal"/>
              <w:snapToGrid w:val="false"/>
              <w:rPr/>
            </w:pPr>
            <w:r>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TableSpacer"/>
        <w:rPr/>
      </w:pPr>
      <w:r>
        <w:rPr/>
      </w:r>
      <w:bookmarkStart w:id="0" w:name="SSB_Data"/>
      <w:bookmarkStart w:id="1" w:name="SSB_Data"/>
      <w:bookmarkEnd w:id="1"/>
    </w:p>
    <w:tbl>
      <w:tblPr>
        <w:tblW w:w="2880" w:type="dxa"/>
        <w:jc w:val="start"/>
        <w:tblInd w:w="-2016" w:type="dxa"/>
        <w:tblLayout w:type="fixed"/>
        <w:tblCellMar>
          <w:top w:w="0" w:type="dxa"/>
          <w:start w:w="0" w:type="dxa"/>
          <w:bottom w:w="0" w:type="dxa"/>
          <w:end w:w="0" w:type="dxa"/>
        </w:tblCellMar>
      </w:tblPr>
      <w:tblGrid>
        <w:gridCol w:w="1728"/>
        <w:gridCol w:w="432"/>
        <w:gridCol w:w="720"/>
      </w:tblGrid>
      <w:tr>
        <w:trPr/>
        <w:tc>
          <w:tcPr>
            <w:tcW w:w="2880" w:type="dxa"/>
            <w:gridSpan w:val="3"/>
            <w:tcBorders/>
          </w:tcPr>
          <w:p>
            <w:pPr>
              <w:pStyle w:val="SSBHeading"/>
              <w:keepNext w:val="true"/>
              <w:keepLines/>
              <w:spacing w:lineRule="exact" w:line="230" w:before="0" w:after="60"/>
              <w:rPr/>
            </w:pPr>
            <w:r>
              <w:rPr/>
              <w:t>Fundamentals</w:t>
            </w:r>
          </w:p>
        </w:tc>
      </w:tr>
      <w:tr>
        <w:trPr/>
        <w:tc>
          <w:tcPr>
            <w:tcW w:w="2160" w:type="dxa"/>
            <w:gridSpan w:val="2"/>
            <w:tcBorders/>
          </w:tcPr>
          <w:p>
            <w:pPr>
              <w:pStyle w:val="SSBData"/>
              <w:spacing w:lineRule="exact" w:line="220" w:before="0" w:after="60"/>
              <w:rPr/>
            </w:pPr>
            <w:r>
              <w:rPr/>
              <w:t>P/E  (</w:t>
            </w:r>
            <w:r>
              <w:fldChar w:fldCharType="begin">
                <w:ffData>
                  <w:name w:val="trc_FDYear2"/>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PE"/>
                  <w:enabled/>
                  <w:calcOnExit w:val="0"/>
                  <w:textInput/>
                </w:ffData>
              </w:fldChar>
            </w:r>
            <w:r>
              <w:rPr>
                <w:lang w:val="en-CA"/>
              </w:rPr>
              <w:instrText xml:space="preserve"> FORMTEXT </w:instrText>
            </w:r>
            <w:r>
              <w:rPr>
                <w:lang w:val="en-CA"/>
              </w:rPr>
            </w:r>
            <w:r>
              <w:rPr>
                <w:lang w:val="en-CA"/>
              </w:rPr>
              <w:fldChar w:fldCharType="separate"/>
            </w:r>
            <w:r>
              <w:rPr>
                <w:lang w:val="en-CA"/>
              </w:rPr>
              <w:t>33.0x</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P/E  (</w:t>
            </w:r>
            <w:r>
              <w:fldChar w:fldCharType="begin">
                <w:ffData>
                  <w:name w:val="trc_FDYear3"/>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3PE"/>
                  <w:enabled/>
                  <w:calcOnExit w:val="0"/>
                  <w:textInput/>
                </w:ffData>
              </w:fldChar>
            </w:r>
            <w:r>
              <w:rPr>
                <w:lang w:val="en-CA"/>
              </w:rPr>
              <w:instrText xml:space="preserve"> FORMTEXT </w:instrText>
            </w:r>
            <w:r>
              <w:rPr>
                <w:lang w:val="en-CA"/>
              </w:rPr>
            </w:r>
            <w:r>
              <w:rPr>
                <w:lang w:val="en-CA"/>
              </w:rPr>
              <w:fldChar w:fldCharType="separate"/>
            </w:r>
            <w:r>
              <w:rPr>
                <w:lang w:val="en-CA"/>
              </w:rPr>
              <w:t>29.0x</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TEV/EBITDA  (</w:t>
            </w:r>
            <w:r>
              <w:fldChar w:fldCharType="begin">
                <w:ffData>
                  <w:name w:val="trc_FDYear2_a1"/>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EVTOEBITDA"/>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TEV/EBITDA  (</w:t>
            </w:r>
            <w:r>
              <w:fldChar w:fldCharType="begin">
                <w:ffData>
                  <w:name w:val="trc_FDYear3_a1"/>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3EVTOEBITDA"/>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Book Value/Share  (</w:t>
            </w:r>
            <w:r>
              <w:fldChar w:fldCharType="begin">
                <w:ffData>
                  <w:name w:val="trc_FDYear2_a2"/>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BVPS"/>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Price/Book Value</w:t>
              <w:tab/>
            </w:r>
          </w:p>
        </w:tc>
        <w:tc>
          <w:tcPr>
            <w:tcW w:w="720" w:type="dxa"/>
            <w:tcBorders/>
          </w:tcPr>
          <w:p>
            <w:pPr>
              <w:pStyle w:val="SSBDataRight"/>
              <w:spacing w:before="0" w:after="60"/>
              <w:rPr>
                <w:lang w:val="en-CA"/>
              </w:rPr>
            </w:pPr>
            <w:r>
              <w:fldChar w:fldCharType="begin">
                <w:ffData>
                  <w:name w:val="TRC_Y2PRICETOBOOK"/>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c>
          <w:tcPr>
            <w:tcW w:w="1728" w:type="dxa"/>
            <w:tcBorders/>
          </w:tcPr>
          <w:p>
            <w:pPr>
              <w:pStyle w:val="SSBData"/>
              <w:spacing w:lineRule="exact" w:line="220" w:before="0" w:after="60"/>
              <w:rPr/>
            </w:pPr>
            <w:r>
              <w:rPr/>
              <w:t>Dividend/Yield  (</w:t>
            </w:r>
            <w:r>
              <w:fldChar w:fldCharType="begin">
                <w:ffData>
                  <w:name w:val="trc_FDYear2_a3"/>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1152" w:type="dxa"/>
            <w:gridSpan w:val="2"/>
            <w:tcBorders/>
          </w:tcPr>
          <w:p>
            <w:pPr>
              <w:pStyle w:val="SSBDataRight"/>
              <w:spacing w:before="0" w:after="60"/>
              <w:jc w:val="end"/>
              <w:rPr/>
            </w:pPr>
            <w:r>
              <w:fldChar w:fldCharType="begin">
                <w:ffData>
                  <w:name w:val="TRC_Y2DPS"/>
                  <w:enabled/>
                  <w:calcOnExit w:val="0"/>
                  <w:textInput/>
                </w:ffData>
              </w:fldChar>
            </w:r>
            <w:r>
              <w:rPr>
                <w:lang w:val="en-CA"/>
              </w:rPr>
              <w:instrText xml:space="preserve"> FORMTEXT </w:instrText>
            </w:r>
            <w:r>
              <w:rPr>
                <w:lang w:val="en-CA"/>
              </w:rPr>
            </w:r>
            <w:r>
              <w:rPr>
                <w:lang w:val="en-CA"/>
              </w:rPr>
              <w:fldChar w:fldCharType="separate"/>
            </w:r>
            <w:r>
              <w:rPr>
                <w:lang w:val="en-CA"/>
              </w:rPr>
              <w:t>$0.54</w:t>
            </w:r>
            <w:r>
              <w:rPr>
                <w:lang w:val="en-CA"/>
              </w:rPr>
            </w:r>
            <w:r>
              <w:rPr>
                <w:lang w:val="en-CA"/>
              </w:rPr>
              <w:fldChar w:fldCharType="end"/>
            </w:r>
            <w:r>
              <w:rPr/>
              <w:t>/</w:t>
            </w:r>
            <w:r>
              <w:fldChar w:fldCharType="begin">
                <w:ffData>
                  <w:name w:val="TRC_Y2DIVYIELD"/>
                  <w:enabled/>
                  <w:calcOnExit w:val="0"/>
                  <w:textInput/>
                </w:ffData>
              </w:fldChar>
            </w:r>
            <w:r>
              <w:rPr>
                <w:lang w:val="en-CA"/>
              </w:rPr>
              <w:instrText xml:space="preserve"> FORMTEXT </w:instrText>
            </w:r>
            <w:r>
              <w:rPr>
                <w:lang w:val="en-CA"/>
              </w:rPr>
            </w:r>
            <w:r>
              <w:rPr>
                <w:lang w:val="en-CA"/>
              </w:rPr>
              <w:fldChar w:fldCharType="separate"/>
            </w:r>
            <w:r>
              <w:rPr>
                <w:lang w:val="en-CA"/>
              </w:rPr>
              <w:t>0.9%</w:t>
            </w:r>
            <w:r/>
            <w:r>
              <w:rPr>
                <w:lang w:val="en-CA"/>
              </w:rPr>
              <w:fldChar w:fldCharType="end"/>
            </w:r>
            <w:r>
              <w:rPr>
                <w:lang w:val="en-CA"/>
              </w:rPr>
            </w:r>
          </w:p>
        </w:tc>
      </w:tr>
      <w:tr>
        <w:trPr/>
        <w:tc>
          <w:tcPr>
            <w:tcW w:w="1728" w:type="dxa"/>
            <w:tcBorders/>
          </w:tcPr>
          <w:p>
            <w:pPr>
              <w:pStyle w:val="SSBData"/>
              <w:spacing w:lineRule="exact" w:line="220" w:before="0" w:after="60"/>
              <w:rPr/>
            </w:pPr>
            <w:r>
              <w:rPr/>
              <w:t>Revenue (</w:t>
            </w:r>
            <w:r>
              <w:fldChar w:fldCharType="begin">
                <w:ffData>
                  <w:name w:val="trc_FDYear2_a4"/>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1152" w:type="dxa"/>
            <w:gridSpan w:val="2"/>
            <w:tcBorders/>
          </w:tcPr>
          <w:p>
            <w:pPr>
              <w:pStyle w:val="SSBDataRight"/>
              <w:spacing w:before="0" w:after="60"/>
              <w:jc w:val="end"/>
              <w:rPr/>
            </w:pPr>
            <w:r>
              <w:fldChar w:fldCharType="begin">
                <w:ffData>
                  <w:name w:val="trc_y2REVENUE"/>
                  <w:enabled/>
                  <w:calcOnExit w:val="0"/>
                  <w:textInput/>
                </w:ffData>
              </w:fldChar>
            </w:r>
            <w:r>
              <w:rPr>
                <w:lang w:val="en-CA"/>
              </w:rPr>
              <w:instrText xml:space="preserve"> FORMTEXT </w:instrText>
            </w:r>
            <w:r>
              <w:rPr>
                <w:lang w:val="en-CA"/>
              </w:rPr>
            </w:r>
            <w:r>
              <w:rPr>
                <w:lang w:val="en-CA"/>
              </w:rPr>
              <w:fldChar w:fldCharType="separate"/>
            </w:r>
            <w:r>
              <w:rPr>
                <w:lang w:val="en-CA"/>
              </w:rPr>
              <w:t>$75,748.2</w:t>
            </w:r>
            <w:r>
              <w:rPr>
                <w:lang w:val="en-CA"/>
              </w:rPr>
            </w:r>
            <w:r>
              <w:rPr>
                <w:lang w:val="en-CA"/>
              </w:rPr>
              <w:fldChar w:fldCharType="end"/>
            </w:r>
            <w:r>
              <w:rPr/>
              <w:t xml:space="preserve"> </w:t>
            </w:r>
            <w:r>
              <w:fldChar w:fldCharType="begin">
                <w:ffData>
                  <w:name w:val="trc_y2REVENUE_U"/>
                  <w:enabled/>
                  <w:calcOnExit w:val="0"/>
                  <w:textInput/>
                </w:ffData>
              </w:fldChar>
            </w:r>
            <w:r>
              <w:rPr>
                <w:lang w:val="en-CA"/>
              </w:rPr>
              <w:instrText xml:space="preserve"> FORMTEXT </w:instrText>
            </w:r>
            <w:r>
              <w:rPr>
                <w:lang w:val="en-CA"/>
              </w:rPr>
            </w:r>
            <w:r>
              <w:rPr>
                <w:lang w:val="en-CA"/>
              </w:rPr>
              <w:fldChar w:fldCharType="separate"/>
            </w:r>
            <w:r>
              <w:rPr>
                <w:lang w:val="en-CA"/>
              </w:rPr>
              <w:t>mil.</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Proj. Long-Term EPS Growth</w:t>
              <w:tab/>
            </w:r>
          </w:p>
        </w:tc>
        <w:tc>
          <w:tcPr>
            <w:tcW w:w="720" w:type="dxa"/>
            <w:tcBorders/>
          </w:tcPr>
          <w:p>
            <w:pPr>
              <w:pStyle w:val="SSBDataRight"/>
              <w:spacing w:before="0" w:after="60"/>
              <w:rPr>
                <w:lang w:val="en-CA"/>
              </w:rPr>
            </w:pPr>
            <w:r>
              <w:fldChar w:fldCharType="begin">
                <w:ffData>
                  <w:name w:val="TRC_EPSGR"/>
                  <w:enabled/>
                  <w:calcOnExit w:val="0"/>
                  <w:textInput/>
                </w:ffData>
              </w:fldChar>
            </w:r>
            <w:r>
              <w:rPr>
                <w:lang w:val="en-CA"/>
              </w:rPr>
              <w:instrText xml:space="preserve"> FORMTEXT </w:instrText>
            </w:r>
            <w:r>
              <w:rPr>
                <w:lang w:val="en-CA"/>
              </w:rPr>
            </w:r>
            <w:r>
              <w:rPr>
                <w:lang w:val="en-CA"/>
              </w:rPr>
              <w:fldChar w:fldCharType="separate"/>
            </w:r>
            <w:r>
              <w:rPr>
                <w:lang w:val="en-CA"/>
              </w:rPr>
              <w:t>20%</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ROE  (</w:t>
            </w:r>
            <w:r>
              <w:fldChar w:fldCharType="begin">
                <w:ffData>
                  <w:name w:val="trc_FDYear2_a5"/>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ROE"/>
                  <w:enabled/>
                  <w:calcOnExit w:val="0"/>
                  <w:textInput/>
                </w:ffData>
              </w:fldChar>
            </w:r>
            <w:r>
              <w:rPr>
                <w:lang w:val="en-CA"/>
              </w:rPr>
              <w:instrText xml:space="preserve"> FORMTEXT </w:instrText>
            </w:r>
            <w:r>
              <w:rPr>
                <w:lang w:val="en-CA"/>
              </w:rPr>
            </w:r>
            <w:r>
              <w:rPr>
                <w:lang w:val="en-CA"/>
              </w:rPr>
              <w:fldChar w:fldCharType="separate"/>
            </w:r>
            <w:r>
              <w:rPr>
                <w:lang w:val="en-CA"/>
              </w:rPr>
              <w:t>11.5%</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Long-Term Debt to Capital(a)</w:t>
              <w:tab/>
            </w:r>
          </w:p>
        </w:tc>
        <w:tc>
          <w:tcPr>
            <w:tcW w:w="720" w:type="dxa"/>
            <w:tcBorders/>
          </w:tcPr>
          <w:p>
            <w:pPr>
              <w:pStyle w:val="SSBDataRight"/>
              <w:spacing w:before="0" w:after="60"/>
              <w:rPr>
                <w:lang w:val="en-CA"/>
              </w:rPr>
            </w:pPr>
            <w:r>
              <w:fldChar w:fldCharType="begin">
                <w:ffData>
                  <w:name w:val="TRC_Y2LTDCAP"/>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rHeight w:val="460" w:hRule="atLeast"/>
        </w:trPr>
        <w:tc>
          <w:tcPr>
            <w:tcW w:w="2880" w:type="dxa"/>
            <w:gridSpan w:val="3"/>
            <w:tcBorders>
              <w:bottom w:val="single" w:sz="12" w:space="0" w:color="808080"/>
            </w:tcBorders>
          </w:tcPr>
          <w:p>
            <w:pPr>
              <w:pStyle w:val="SSBData"/>
              <w:spacing w:before="0" w:after="60"/>
              <w:rPr>
                <w:lang w:val="en-CA"/>
              </w:rPr>
            </w:pPr>
            <w:r>
              <w:fldChar w:fldCharType="begin">
                <w:ffData>
                  <w:name w:val="trc_indexgroup"/>
                  <w:enabled/>
                  <w:calcOnExit w:val="0"/>
                  <w:textInput/>
                </w:ffData>
              </w:fldChar>
            </w:r>
            <w:r>
              <w:rPr>
                <w:lang w:val="en-CA"/>
              </w:rPr>
              <w:instrText xml:space="preserve"> FORMTEXT </w:instrText>
            </w:r>
            <w:r>
              <w:rPr>
                <w:lang w:val="en-CA"/>
              </w:rPr>
            </w:r>
            <w:r>
              <w:rPr>
                <w:lang w:val="en-CA"/>
              </w:rPr>
              <w:fldChar w:fldCharType="separate"/>
            </w:r>
            <w:r>
              <w:rPr>
                <w:lang w:val="en-CA"/>
              </w:rPr>
              <w:t>ENE is in the S&amp;P 500® Index.</w:t>
            </w:r>
            <w:r/>
            <w:r>
              <w:rPr>
                <w:lang w:val="en-CA"/>
              </w:rPr>
              <w:fldChar w:fldCharType="end"/>
            </w:r>
            <w:r>
              <w:rPr>
                <w:lang w:val="en-CA"/>
              </w:rPr>
            </w:r>
          </w:p>
        </w:tc>
      </w:tr>
      <w:tr>
        <w:trPr/>
        <w:tc>
          <w:tcPr>
            <w:tcW w:w="2880" w:type="dxa"/>
            <w:gridSpan w:val="3"/>
            <w:tcBorders/>
          </w:tcPr>
          <w:p>
            <w:pPr>
              <w:pStyle w:val="SSBData"/>
              <w:spacing w:lineRule="exact" w:line="220" w:before="0" w:after="60"/>
              <w:rPr/>
            </w:pPr>
            <w:r>
              <w:rPr/>
              <w:t>(a) Data as of most recent quarter</w:t>
            </w:r>
          </w:p>
        </w:tc>
      </w:tr>
    </w:tbl>
    <w:p>
      <w:pPr>
        <w:pStyle w:val="SSBTableSpacerHidden"/>
        <w:rPr/>
      </w:pPr>
      <w:r>
        <w:rPr/>
      </w:r>
    </w:p>
    <w:p>
      <w:pPr>
        <w:pStyle w:val="SSBTableSpacer"/>
        <w:rPr/>
      </w:pPr>
      <w:r>
        <w:br w:type="column"/>
      </w:r>
      <w:r>
        <w:rPr/>
      </w:r>
    </w:p>
    <w:tbl>
      <w:tblPr>
        <w:tblW w:w="6682" w:type="dxa"/>
        <w:jc w:val="start"/>
        <w:tblInd w:w="0" w:type="dxa"/>
        <w:tblLayout w:type="fixed"/>
        <w:tblCellMar>
          <w:top w:w="0" w:type="dxa"/>
          <w:start w:w="0" w:type="dxa"/>
          <w:bottom w:w="0" w:type="dxa"/>
          <w:end w:w="0" w:type="dxa"/>
        </w:tblCellMar>
      </w:tblPr>
      <w:tblGrid>
        <w:gridCol w:w="1350"/>
        <w:gridCol w:w="930"/>
        <w:gridCol w:w="197"/>
        <w:gridCol w:w="720"/>
        <w:gridCol w:w="288"/>
        <w:gridCol w:w="2365"/>
        <w:gridCol w:w="832"/>
      </w:tblGrid>
      <w:tr>
        <w:trPr/>
        <w:tc>
          <w:tcPr>
            <w:tcW w:w="2477" w:type="dxa"/>
            <w:gridSpan w:val="3"/>
            <w:tcBorders/>
          </w:tcPr>
          <w:p>
            <w:pPr>
              <w:pStyle w:val="SSBHeading"/>
              <w:keepNext w:val="true"/>
              <w:keepLines/>
              <w:spacing w:lineRule="exact" w:line="230" w:before="0" w:after="60"/>
              <w:rPr/>
            </w:pPr>
            <w:r>
              <w:rPr/>
              <w:t>Share Data</w:t>
            </w:r>
          </w:p>
        </w:tc>
        <w:tc>
          <w:tcPr>
            <w:tcW w:w="720" w:type="dxa"/>
            <w:tcBorders/>
          </w:tcPr>
          <w:p>
            <w:pPr>
              <w:pStyle w:val="SSBData"/>
              <w:snapToGrid w:val="false"/>
              <w:spacing w:before="0" w:after="60"/>
              <w:rPr/>
            </w:pPr>
            <w:r>
              <w:rPr/>
            </w:r>
          </w:p>
        </w:tc>
        <w:tc>
          <w:tcPr>
            <w:tcW w:w="288" w:type="dxa"/>
            <w:tcBorders/>
          </w:tcPr>
          <w:p>
            <w:pPr>
              <w:pStyle w:val="SSBData"/>
              <w:spacing w:before="0" w:after="60"/>
              <w:rPr>
                <w:vanish/>
              </w:rPr>
            </w:pPr>
            <w:r>
              <w:rPr>
                <w:vanish/>
              </w:rPr>
              <w:t>.</w:t>
            </w:r>
          </w:p>
        </w:tc>
        <w:tc>
          <w:tcPr>
            <w:tcW w:w="2365" w:type="dxa"/>
            <w:tcBorders/>
          </w:tcPr>
          <w:p>
            <w:pPr>
              <w:pStyle w:val="SSBHeading"/>
              <w:keepNext w:val="true"/>
              <w:keepLines/>
              <w:spacing w:lineRule="exact" w:line="230" w:before="0" w:after="60"/>
              <w:rPr/>
            </w:pPr>
            <w:r>
              <w:rPr/>
              <w:t>Recommendation</w:t>
            </w:r>
          </w:p>
        </w:tc>
        <w:tc>
          <w:tcPr>
            <w:tcW w:w="832" w:type="dxa"/>
            <w:tcBorders/>
          </w:tcPr>
          <w:p>
            <w:pPr>
              <w:pStyle w:val="SSBData"/>
              <w:snapToGrid w:val="false"/>
              <w:spacing w:before="0" w:after="60"/>
              <w:rPr/>
            </w:pPr>
            <w:r>
              <w:rPr/>
            </w:r>
          </w:p>
        </w:tc>
      </w:tr>
      <w:tr>
        <w:trPr/>
        <w:tc>
          <w:tcPr>
            <w:tcW w:w="2280" w:type="dxa"/>
            <w:gridSpan w:val="2"/>
            <w:tcBorders/>
          </w:tcPr>
          <w:p>
            <w:pPr>
              <w:pStyle w:val="SSBData"/>
              <w:spacing w:lineRule="exact" w:line="220" w:before="0" w:after="60"/>
              <w:rPr/>
            </w:pPr>
            <w:r>
              <w:rPr/>
              <w:t>Price (</w:t>
            </w:r>
            <w:r>
              <w:fldChar w:fldCharType="begin">
                <w:ffData>
                  <w:name w:val="TRC_PRICEDATE"/>
                  <w:enabled/>
                  <w:calcOnExit w:val="0"/>
                  <w:textInput>
                    <w:type w:val="date"/>
                  </w:textInput>
                </w:ffData>
              </w:fldChar>
            </w:r>
            <w:r>
              <w:rPr>
                <w:lang w:val="en-CA"/>
              </w:rPr>
              <w:instrText xml:space="preserve"> FORMTEXT </w:instrText>
            </w:r>
            <w:r>
              <w:rPr>
                <w:lang w:val="en-CA"/>
              </w:rPr>
            </w:r>
            <w:r>
              <w:rPr>
                <w:lang w:val="en-CA"/>
              </w:rPr>
              <w:fldChar w:fldCharType="separate"/>
            </w:r>
            <w:r>
              <w:rPr>
                <w:lang w:val="en-CA"/>
              </w:rPr>
              <w:t>4/16/01</w:t>
            </w:r>
            <w:r>
              <w:rPr>
                <w:lang w:val="en-CA"/>
              </w:rPr>
            </w:r>
            <w:r>
              <w:rPr>
                <w:lang w:val="en-CA"/>
              </w:rPr>
              <w:fldChar w:fldCharType="end"/>
            </w:r>
            <w:r>
              <w:rPr/>
              <w:t>)</w:t>
              <w:tab/>
            </w:r>
          </w:p>
        </w:tc>
        <w:tc>
          <w:tcPr>
            <w:tcW w:w="917" w:type="dxa"/>
            <w:gridSpan w:val="2"/>
            <w:tcBorders/>
          </w:tcPr>
          <w:p>
            <w:pPr>
              <w:pStyle w:val="SSBDataRight"/>
              <w:spacing w:before="0" w:after="60"/>
              <w:rPr>
                <w:lang w:val="en-CA"/>
              </w:rPr>
            </w:pPr>
            <w:r>
              <w:fldChar w:fldCharType="begin">
                <w:ffData>
                  <w:name w:val="TRC_CURRENTPRICE"/>
                  <w:enabled/>
                  <w:calcOnExit w:val="0"/>
                  <w:textInput/>
                </w:ffData>
              </w:fldChar>
            </w:r>
            <w:r>
              <w:rPr>
                <w:lang w:val="en-CA"/>
              </w:rPr>
              <w:instrText xml:space="preserve"> FORMTEXT </w:instrText>
            </w:r>
            <w:r>
              <w:rPr>
                <w:lang w:val="en-CA"/>
              </w:rPr>
            </w:r>
            <w:r>
              <w:rPr>
                <w:lang w:val="en-CA"/>
              </w:rPr>
              <w:fldChar w:fldCharType="separate"/>
            </w:r>
            <w:r>
              <w:rPr>
                <w:lang w:val="en-CA"/>
              </w:rPr>
              <w:t>$59.44</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Rating</w:t>
              <w:tab/>
            </w:r>
          </w:p>
        </w:tc>
        <w:tc>
          <w:tcPr>
            <w:tcW w:w="832" w:type="dxa"/>
            <w:tcBorders/>
          </w:tcPr>
          <w:p>
            <w:pPr>
              <w:pStyle w:val="SSBDataRight"/>
              <w:spacing w:before="0" w:after="60"/>
              <w:jc w:val="end"/>
              <w:rPr>
                <w:b/>
              </w:rPr>
            </w:pPr>
            <w:r>
              <w:fldChar w:fldCharType="begin">
                <w:ffData>
                  <w:name w:val="TRC_RATING_A1"/>
                  <w:enabled/>
                  <w:calcOnExit w:val="0"/>
                  <w:textInput/>
                </w:ffData>
              </w:fldChar>
            </w:r>
            <w:r>
              <w:rPr>
                <w:b/>
                <w:lang w:val="en-CA"/>
              </w:rPr>
              <w:instrText xml:space="preserve"> FORMTEXT </w:instrText>
            </w:r>
            <w:r>
              <w:rPr>
                <w:b/>
                <w:lang w:val="en-CA"/>
              </w:rPr>
            </w:r>
            <w:r>
              <w:rPr>
                <w:b/>
                <w:lang w:val="en-CA"/>
              </w:rPr>
              <w:fldChar w:fldCharType="separate"/>
            </w:r>
            <w:r>
              <w:rPr>
                <w:b/>
                <w:lang w:val="en-CA"/>
              </w:rPr>
              <w:t>1</w:t>
            </w:r>
            <w:r>
              <w:rPr>
                <w:b/>
                <w:lang w:val="en-CA"/>
              </w:rPr>
            </w:r>
            <w:r>
              <w:rPr>
                <w:b/>
                <w:lang w:val="en-CA"/>
              </w:rPr>
              <w:fldChar w:fldCharType="end"/>
            </w:r>
            <w:r>
              <w:fldChar w:fldCharType="begin">
                <w:ffData>
                  <w:name w:val="TRC_RISK_A1"/>
                  <w:enabled/>
                  <w:calcOnExit w:val="0"/>
                  <w:textInput/>
                </w:ffData>
              </w:fldChar>
            </w:r>
            <w:r>
              <w:rPr>
                <w:b/>
                <w:lang w:val="en-CA"/>
              </w:rPr>
              <w:instrText xml:space="preserve"> FORMTEXT </w:instrText>
            </w:r>
            <w:r>
              <w:rPr>
                <w:b/>
                <w:lang w:val="en-CA"/>
              </w:rPr>
            </w:r>
            <w:r>
              <w:rPr>
                <w:b/>
                <w:lang w:val="en-CA"/>
              </w:rPr>
              <w:fldChar w:fldCharType="separate"/>
            </w:r>
            <w:r>
              <w:rPr>
                <w:b/>
                <w:lang w:val="en-CA"/>
              </w:rPr>
              <w:t>H</w:t>
            </w:r>
            <w:r/>
            <w:r>
              <w:rPr>
                <w:b/>
                <w:lang w:val="en-CA"/>
              </w:rPr>
              <w:fldChar w:fldCharType="end"/>
            </w:r>
            <w:r>
              <w:rPr>
                <w:b/>
                <w:lang w:val="en-CA"/>
              </w:rPr>
            </w:r>
          </w:p>
        </w:tc>
      </w:tr>
      <w:tr>
        <w:trPr/>
        <w:tc>
          <w:tcPr>
            <w:tcW w:w="1350" w:type="dxa"/>
            <w:tcBorders/>
          </w:tcPr>
          <w:p>
            <w:pPr>
              <w:pStyle w:val="SSBData"/>
              <w:spacing w:lineRule="exact" w:line="220" w:before="0" w:after="60"/>
              <w:rPr/>
            </w:pPr>
            <w:r>
              <w:rPr/>
              <w:t>52-Week Range</w:t>
              <w:tab/>
            </w:r>
          </w:p>
        </w:tc>
        <w:tc>
          <w:tcPr>
            <w:tcW w:w="1847" w:type="dxa"/>
            <w:gridSpan w:val="3"/>
            <w:tcBorders/>
          </w:tcPr>
          <w:p>
            <w:pPr>
              <w:pStyle w:val="SSBDataRight"/>
              <w:spacing w:before="0" w:after="60"/>
              <w:jc w:val="end"/>
              <w:rPr/>
            </w:pPr>
            <w:r>
              <w:fldChar w:fldCharType="begin">
                <w:ffData>
                  <w:name w:val="TRC_WKRNG52HI"/>
                  <w:enabled/>
                  <w:calcOnExit w:val="0"/>
                  <w:textInput/>
                </w:ffData>
              </w:fldChar>
            </w:r>
            <w:r>
              <w:rPr>
                <w:lang w:val="en-CA"/>
              </w:rPr>
              <w:instrText xml:space="preserve"> FORMTEXT </w:instrText>
            </w:r>
            <w:r>
              <w:rPr>
                <w:lang w:val="en-CA"/>
              </w:rPr>
            </w:r>
            <w:r>
              <w:rPr>
                <w:lang w:val="en-CA"/>
              </w:rPr>
              <w:fldChar w:fldCharType="separate"/>
            </w:r>
            <w:r>
              <w:rPr>
                <w:lang w:val="en-CA"/>
              </w:rPr>
              <w:t>$90.00</w:t>
            </w:r>
            <w:r>
              <w:rPr>
                <w:lang w:val="en-CA"/>
              </w:rPr>
            </w:r>
            <w:r>
              <w:rPr>
                <w:lang w:val="en-CA"/>
              </w:rPr>
              <w:fldChar w:fldCharType="end"/>
            </w:r>
            <w:r>
              <w:rPr/>
              <w:t>-</w:t>
            </w:r>
            <w:r>
              <w:fldChar w:fldCharType="begin">
                <w:ffData>
                  <w:name w:val="TRC_WKRNG52LOW"/>
                  <w:enabled/>
                  <w:calcOnExit w:val="0"/>
                  <w:textInput/>
                </w:ffData>
              </w:fldChar>
            </w:r>
            <w:r>
              <w:rPr>
                <w:lang w:val="en-CA"/>
              </w:rPr>
              <w:instrText xml:space="preserve"> FORMTEXT </w:instrText>
            </w:r>
            <w:r>
              <w:rPr>
                <w:lang w:val="en-CA"/>
              </w:rPr>
            </w:r>
            <w:r>
              <w:rPr>
                <w:lang w:val="en-CA"/>
              </w:rPr>
              <w:fldChar w:fldCharType="separate"/>
            </w:r>
            <w:r>
              <w:rPr>
                <w:lang w:val="en-CA"/>
              </w:rPr>
              <w:t>$53.50</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Prior Rating</w:t>
              <w:tab/>
            </w:r>
          </w:p>
        </w:tc>
        <w:tc>
          <w:tcPr>
            <w:tcW w:w="832" w:type="dxa"/>
            <w:tcBorders/>
          </w:tcPr>
          <w:p>
            <w:pPr>
              <w:pStyle w:val="SSBDataRight"/>
              <w:spacing w:before="0" w:after="60"/>
              <w:jc w:val="end"/>
              <w:rPr/>
            </w:pPr>
            <w:r>
              <w:fldChar w:fldCharType="begin">
                <w:ffData>
                  <w:name w:val="TRC_RATING_P"/>
                  <w:enabled/>
                  <w:calcOnExit w:val="0"/>
                  <w:textInput/>
                </w:ffData>
              </w:fldChar>
            </w:r>
            <w:r>
              <w:rPr>
                <w:lang w:val="en-CA"/>
              </w:rPr>
              <w:instrText xml:space="preserve"> FORMTEXT </w:instrText>
            </w:r>
            <w:r>
              <w:rPr>
                <w:lang w:val="en-CA"/>
              </w:rPr>
            </w:r>
            <w:r>
              <w:rPr>
                <w:lang w:val="en-CA"/>
              </w:rPr>
              <w:fldChar w:fldCharType="separate"/>
            </w:r>
            <w:r>
              <w:rPr>
                <w:lang w:val="en-CA"/>
              </w:rPr>
              <w:t>1</w:t>
            </w:r>
            <w:r>
              <w:rPr>
                <w:lang w:val="en-CA"/>
              </w:rPr>
            </w:r>
            <w:r>
              <w:rPr>
                <w:lang w:val="en-CA"/>
              </w:rPr>
              <w:fldChar w:fldCharType="end"/>
            </w:r>
            <w:r>
              <w:fldChar w:fldCharType="begin">
                <w:ffData>
                  <w:name w:val="TRC_RISK_P"/>
                  <w:enabled/>
                  <w:calcOnExit w:val="0"/>
                  <w:textInput/>
                </w:ffData>
              </w:fldChar>
            </w:r>
            <w:r>
              <w:rPr>
                <w:lang w:val="en-CA"/>
              </w:rPr>
              <w:instrText xml:space="preserve"> FORMTEXT </w:instrText>
            </w:r>
            <w:r>
              <w:rPr>
                <w:lang w:val="en-CA"/>
              </w:rPr>
            </w:r>
            <w:r>
              <w:rPr>
                <w:lang w:val="en-CA"/>
              </w:rPr>
              <w:fldChar w:fldCharType="separate"/>
            </w:r>
            <w:r>
              <w:rPr>
                <w:lang w:val="en-CA"/>
              </w:rPr>
              <w:t>H</w:t>
            </w:r>
            <w:r/>
            <w:r>
              <w:rPr>
                <w:lang w:val="en-CA"/>
              </w:rPr>
              <w:fldChar w:fldCharType="end"/>
            </w:r>
            <w:r>
              <w:rPr>
                <w:lang w:val="en-CA"/>
              </w:rPr>
            </w:r>
          </w:p>
        </w:tc>
      </w:tr>
      <w:tr>
        <w:trPr/>
        <w:tc>
          <w:tcPr>
            <w:tcW w:w="2280" w:type="dxa"/>
            <w:gridSpan w:val="2"/>
            <w:tcBorders/>
          </w:tcPr>
          <w:p>
            <w:pPr>
              <w:pStyle w:val="SSBData"/>
              <w:spacing w:lineRule="exact" w:line="220" w:before="0" w:after="60"/>
              <w:rPr/>
            </w:pPr>
            <w:r>
              <w:rPr/>
              <w:t>Shares Outstanding(a)</w:t>
              <w:tab/>
            </w:r>
          </w:p>
        </w:tc>
        <w:tc>
          <w:tcPr>
            <w:tcW w:w="917" w:type="dxa"/>
            <w:gridSpan w:val="2"/>
            <w:tcBorders/>
          </w:tcPr>
          <w:p>
            <w:pPr>
              <w:pStyle w:val="SSBDataRight"/>
              <w:spacing w:before="0" w:after="60"/>
              <w:jc w:val="end"/>
              <w:rPr/>
            </w:pPr>
            <w:r>
              <w:fldChar w:fldCharType="begin">
                <w:ffData>
                  <w:name w:val="TRC_SHARESOUT"/>
                  <w:enabled/>
                  <w:calcOnExit w:val="0"/>
                  <w:textInput/>
                </w:ffData>
              </w:fldChar>
            </w:r>
            <w:r>
              <w:rPr>
                <w:lang w:val="en-CA"/>
              </w:rPr>
              <w:instrText xml:space="preserve"> FORMTEXT </w:instrText>
            </w:r>
            <w:r>
              <w:rPr>
                <w:lang w:val="en-CA"/>
              </w:rPr>
            </w:r>
            <w:r>
              <w:rPr>
                <w:lang w:val="en-CA"/>
              </w:rPr>
              <w:fldChar w:fldCharType="separate"/>
            </w:r>
            <w:r>
              <w:rPr>
                <w:lang w:val="en-CA"/>
              </w:rPr>
              <w:t>724.6</w:t>
            </w:r>
            <w:r>
              <w:rPr>
                <w:lang w:val="en-CA"/>
              </w:rPr>
            </w:r>
            <w:r>
              <w:rPr>
                <w:lang w:val="en-CA"/>
              </w:rPr>
              <w:fldChar w:fldCharType="end"/>
            </w:r>
            <w:r>
              <w:rPr/>
              <w:t xml:space="preserve"> </w:t>
            </w:r>
            <w:r>
              <w:fldChar w:fldCharType="begin">
                <w:ffData>
                  <w:name w:val="TRC_SHARESOUT_U"/>
                  <w:enabled/>
                  <w:calcOnExit w:val="0"/>
                  <w:textInput/>
                </w:ffData>
              </w:fldChar>
            </w:r>
            <w:r>
              <w:rPr>
                <w:lang w:val="en-CA"/>
              </w:rPr>
              <w:instrText xml:space="preserve"> FORMTEXT </w:instrText>
            </w:r>
            <w:r>
              <w:rPr>
                <w:lang w:val="en-CA"/>
              </w:rPr>
            </w:r>
            <w:r>
              <w:rPr>
                <w:lang w:val="en-CA"/>
              </w:rPr>
              <w:fldChar w:fldCharType="separate"/>
            </w:r>
            <w:r>
              <w:rPr>
                <w:lang w:val="en-CA"/>
              </w:rPr>
              <w:t>mil.</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Target Price</w:t>
              <w:tab/>
            </w:r>
          </w:p>
        </w:tc>
        <w:tc>
          <w:tcPr>
            <w:tcW w:w="832" w:type="dxa"/>
            <w:tcBorders/>
          </w:tcPr>
          <w:p>
            <w:pPr>
              <w:pStyle w:val="SSBDataRight"/>
              <w:spacing w:before="0" w:after="60"/>
              <w:rPr>
                <w:b/>
              </w:rPr>
            </w:pPr>
            <w:r>
              <w:fldChar w:fldCharType="begin">
                <w:ffData>
                  <w:name w:val="TRC_TARGET"/>
                  <w:enabled/>
                  <w:calcOnExit w:val="0"/>
                  <w:textInput/>
                </w:ffData>
              </w:fldChar>
            </w:r>
            <w:r>
              <w:rPr>
                <w:b/>
                <w:lang w:val="en-CA"/>
              </w:rPr>
              <w:instrText xml:space="preserve"> FORMTEXT </w:instrText>
            </w:r>
            <w:r>
              <w:rPr>
                <w:b/>
                <w:lang w:val="en-CA"/>
              </w:rPr>
            </w:r>
            <w:r>
              <w:rPr>
                <w:b/>
                <w:lang w:val="en-CA"/>
              </w:rPr>
              <w:fldChar w:fldCharType="separate"/>
            </w:r>
            <w:r>
              <w:rPr>
                <w:b/>
                <w:lang w:val="en-CA"/>
              </w:rPr>
              <w:t>$100.00</w:t>
            </w:r>
            <w:r/>
            <w:r>
              <w:rPr>
                <w:b/>
                <w:lang w:val="en-CA"/>
              </w:rPr>
              <w:fldChar w:fldCharType="end"/>
            </w:r>
            <w:r>
              <w:rPr>
                <w:b/>
                <w:lang w:val="en-CA"/>
              </w:rPr>
            </w:r>
          </w:p>
        </w:tc>
      </w:tr>
      <w:tr>
        <w:trPr/>
        <w:tc>
          <w:tcPr>
            <w:tcW w:w="2477" w:type="dxa"/>
            <w:gridSpan w:val="3"/>
            <w:tcBorders/>
          </w:tcPr>
          <w:p>
            <w:pPr>
              <w:pStyle w:val="SSBData"/>
              <w:spacing w:lineRule="exact" w:line="220" w:before="0" w:after="60"/>
              <w:rPr/>
            </w:pPr>
            <w:r>
              <w:rPr/>
              <w:t>Convertible</w:t>
              <w:tab/>
            </w:r>
          </w:p>
        </w:tc>
        <w:tc>
          <w:tcPr>
            <w:tcW w:w="720" w:type="dxa"/>
            <w:tcBorders/>
          </w:tcPr>
          <w:p>
            <w:pPr>
              <w:pStyle w:val="SSBDataRight"/>
              <w:spacing w:before="0" w:after="60"/>
              <w:rPr>
                <w:lang w:val="en-CA"/>
              </w:rPr>
            </w:pPr>
            <w:r>
              <w:fldChar w:fldCharType="begin">
                <w:ffData>
                  <w:name w:val="TRC_CONVERTIBLE"/>
                  <w:enabled/>
                  <w:calcOnExit w:val="0"/>
                  <w:textInput/>
                </w:ffData>
              </w:fldChar>
            </w:r>
            <w:r>
              <w:rPr>
                <w:lang w:val="en-CA"/>
              </w:rPr>
              <w:instrText xml:space="preserve"> FORMTEXT </w:instrText>
            </w:r>
            <w:r>
              <w:rPr>
                <w:lang w:val="en-CA"/>
              </w:rPr>
            </w:r>
            <w:r>
              <w:rPr>
                <w:lang w:val="en-CA"/>
              </w:rPr>
              <w:fldChar w:fldCharType="separate"/>
            </w:r>
            <w:r>
              <w:rPr>
                <w:lang w:val="en-CA"/>
              </w:rPr>
              <w:t>No</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Previous Target Price</w:t>
              <w:tab/>
            </w:r>
          </w:p>
        </w:tc>
        <w:tc>
          <w:tcPr>
            <w:tcW w:w="832" w:type="dxa"/>
            <w:tcBorders/>
          </w:tcPr>
          <w:p>
            <w:pPr>
              <w:pStyle w:val="SSBDataRight"/>
              <w:spacing w:before="0" w:after="60"/>
              <w:rPr>
                <w:lang w:val="en-CA"/>
              </w:rPr>
            </w:pPr>
            <w:r>
              <w:fldChar w:fldCharType="begin">
                <w:ffData>
                  <w:name w:val="TRC_TARGET_P"/>
                  <w:enabled/>
                  <w:calcOnExit w:val="0"/>
                  <w:textInput/>
                </w:ffData>
              </w:fldChar>
            </w:r>
            <w:r>
              <w:rPr>
                <w:lang w:val="en-CA"/>
              </w:rPr>
              <w:instrText xml:space="preserve"> FORMTEXT </w:instrText>
            </w:r>
            <w:r>
              <w:rPr>
                <w:lang w:val="en-CA"/>
              </w:rPr>
            </w:r>
            <w:r>
              <w:rPr>
                <w:lang w:val="en-CA"/>
              </w:rPr>
              <w:fldChar w:fldCharType="separate"/>
            </w:r>
            <w:r>
              <w:rPr>
                <w:lang w:val="en-CA"/>
              </w:rPr>
              <w:t>$100.00</w:t>
            </w:r>
            <w:r/>
            <w:r>
              <w:rPr>
                <w:lang w:val="en-CA"/>
              </w:rPr>
              <w:fldChar w:fldCharType="end"/>
            </w:r>
            <w:r>
              <w:rPr>
                <w:lang w:val="en-CA"/>
              </w:rPr>
            </w:r>
          </w:p>
        </w:tc>
      </w:tr>
    </w:tbl>
    <w:p>
      <w:pPr>
        <w:pStyle w:val="SSBTableSpacer"/>
        <w:rPr/>
      </w:pPr>
      <w:r>
        <w:rPr/>
      </w:r>
    </w:p>
    <w:tbl>
      <w:tblPr>
        <w:tblW w:w="6682" w:type="dxa"/>
        <w:jc w:val="start"/>
        <w:tblInd w:w="0" w:type="dxa"/>
        <w:tblLayout w:type="fixed"/>
        <w:tblCellMar>
          <w:top w:w="0" w:type="dxa"/>
          <w:start w:w="0" w:type="dxa"/>
          <w:bottom w:w="0" w:type="dxa"/>
          <w:end w:w="0" w:type="dxa"/>
        </w:tblCellMar>
      </w:tblPr>
      <w:tblGrid>
        <w:gridCol w:w="864"/>
        <w:gridCol w:w="778"/>
        <w:gridCol w:w="1008"/>
        <w:gridCol w:w="1008"/>
        <w:gridCol w:w="1008"/>
        <w:gridCol w:w="1008"/>
        <w:gridCol w:w="1008"/>
      </w:tblGrid>
      <w:tr>
        <w:trPr>
          <w:trHeight w:val="300" w:hRule="exact"/>
        </w:trPr>
        <w:tc>
          <w:tcPr>
            <w:tcW w:w="6682" w:type="dxa"/>
            <w:gridSpan w:val="7"/>
            <w:tcBorders>
              <w:top w:val="single" w:sz="12" w:space="0" w:color="808080"/>
            </w:tcBorders>
            <w:vAlign w:val="center"/>
          </w:tcPr>
          <w:p>
            <w:pPr>
              <w:pStyle w:val="SSBHeading"/>
              <w:keepNext w:val="true"/>
              <w:keepLines/>
              <w:spacing w:lineRule="exact" w:line="230" w:before="0" w:after="60"/>
              <w:rPr/>
            </w:pPr>
            <w:r>
              <w:rPr/>
              <w:t>Earnings Per Share</w:t>
            </w:r>
          </w:p>
        </w:tc>
      </w:tr>
      <w:tr>
        <w:trPr>
          <w:trHeight w:val="260" w:hRule="exact"/>
        </w:trPr>
        <w:tc>
          <w:tcPr>
            <w:tcW w:w="864" w:type="dxa"/>
            <w:tcBorders>
              <w:top w:val="single" w:sz="8" w:space="0" w:color="808080"/>
            </w:tcBorders>
            <w:vAlign w:val="center"/>
          </w:tcPr>
          <w:p>
            <w:pPr>
              <w:pStyle w:val="SSBDataQ"/>
              <w:rPr>
                <w:b/>
              </w:rPr>
            </w:pPr>
            <w:r>
              <w:rPr>
                <w:b/>
              </w:rPr>
              <w:t>FY ends</w:t>
            </w:r>
          </w:p>
        </w:tc>
        <w:tc>
          <w:tcPr>
            <w:tcW w:w="778" w:type="dxa"/>
            <w:tcBorders>
              <w:top w:val="single" w:sz="8" w:space="0" w:color="808080"/>
            </w:tcBorders>
            <w:vAlign w:val="center"/>
          </w:tcPr>
          <w:p>
            <w:pPr>
              <w:pStyle w:val="SSBDataQCentered"/>
              <w:snapToGrid w:val="false"/>
              <w:rPr>
                <w:b/>
              </w:rPr>
            </w:pPr>
            <w:r>
              <w:rPr>
                <w:b/>
              </w:rPr>
            </w:r>
          </w:p>
        </w:tc>
        <w:tc>
          <w:tcPr>
            <w:tcW w:w="1008" w:type="dxa"/>
            <w:tcBorders>
              <w:top w:val="single" w:sz="8" w:space="0" w:color="808080"/>
            </w:tcBorders>
            <w:vAlign w:val="center"/>
          </w:tcPr>
          <w:p>
            <w:pPr>
              <w:pStyle w:val="SSBDataQCentered"/>
              <w:rPr>
                <w:b/>
              </w:rPr>
            </w:pPr>
            <w:r>
              <w:rPr>
                <w:b/>
              </w:rPr>
              <w:t>1Q</w:t>
            </w:r>
          </w:p>
        </w:tc>
        <w:tc>
          <w:tcPr>
            <w:tcW w:w="1008" w:type="dxa"/>
            <w:tcBorders>
              <w:top w:val="single" w:sz="8" w:space="0" w:color="808080"/>
            </w:tcBorders>
            <w:vAlign w:val="center"/>
          </w:tcPr>
          <w:p>
            <w:pPr>
              <w:pStyle w:val="SSBDataQCentered"/>
              <w:rPr>
                <w:b/>
              </w:rPr>
            </w:pPr>
            <w:r>
              <w:rPr>
                <w:b/>
              </w:rPr>
              <w:t>2Q</w:t>
            </w:r>
          </w:p>
        </w:tc>
        <w:tc>
          <w:tcPr>
            <w:tcW w:w="1008" w:type="dxa"/>
            <w:tcBorders>
              <w:top w:val="single" w:sz="8" w:space="0" w:color="808080"/>
            </w:tcBorders>
            <w:vAlign w:val="center"/>
          </w:tcPr>
          <w:p>
            <w:pPr>
              <w:pStyle w:val="SSBDataQCentered"/>
              <w:rPr>
                <w:b/>
              </w:rPr>
            </w:pPr>
            <w:r>
              <w:rPr>
                <w:b/>
              </w:rPr>
              <w:t>3Q</w:t>
            </w:r>
          </w:p>
        </w:tc>
        <w:tc>
          <w:tcPr>
            <w:tcW w:w="1008" w:type="dxa"/>
            <w:tcBorders>
              <w:top w:val="single" w:sz="8" w:space="0" w:color="808080"/>
            </w:tcBorders>
            <w:vAlign w:val="center"/>
          </w:tcPr>
          <w:p>
            <w:pPr>
              <w:pStyle w:val="SSBDataQCentered"/>
              <w:rPr>
                <w:b/>
              </w:rPr>
            </w:pPr>
            <w:r>
              <w:rPr>
                <w:b/>
              </w:rPr>
              <w:t>4Q</w:t>
            </w:r>
          </w:p>
        </w:tc>
        <w:tc>
          <w:tcPr>
            <w:tcW w:w="1008" w:type="dxa"/>
            <w:tcBorders>
              <w:top w:val="single" w:sz="8" w:space="0" w:color="808080"/>
            </w:tcBorders>
            <w:vAlign w:val="center"/>
          </w:tcPr>
          <w:p>
            <w:pPr>
              <w:pStyle w:val="SSBDataQCentered"/>
              <w:rPr>
                <w:b/>
              </w:rPr>
            </w:pPr>
            <w:r>
              <w:rPr>
                <w:b/>
              </w:rPr>
              <w:t>Full Year</w:t>
            </w:r>
          </w:p>
        </w:tc>
      </w:tr>
      <w:tr>
        <w:trPr>
          <w:trHeight w:val="260" w:hRule="exact"/>
        </w:trPr>
        <w:tc>
          <w:tcPr>
            <w:tcW w:w="864" w:type="dxa"/>
            <w:tcBorders>
              <w:top w:val="single" w:sz="8" w:space="0" w:color="808080"/>
              <w:bottom w:val="single" w:sz="8" w:space="0" w:color="808080"/>
            </w:tcBorders>
          </w:tcPr>
          <w:p>
            <w:pPr>
              <w:pStyle w:val="SSBDataQ"/>
              <w:rPr>
                <w:b/>
              </w:rPr>
            </w:pPr>
            <w:r>
              <w:fldChar w:fldCharType="begin">
                <w:ffData>
                  <w:name w:val="TRC_QDYear1"/>
                  <w:enabled/>
                  <w:calcOnExit w:val="0"/>
                  <w:textInput/>
                </w:ffData>
              </w:fldChar>
            </w:r>
            <w:r>
              <w:rPr>
                <w:b/>
                <w:lang w:val="en-CA"/>
              </w:rPr>
              <w:instrText xml:space="preserve"> FORMTEXT </w:instrText>
            </w:r>
            <w:r>
              <w:rPr>
                <w:b/>
                <w:lang w:val="en-CA"/>
              </w:rPr>
            </w:r>
            <w:r>
              <w:rPr>
                <w:b/>
                <w:lang w:val="en-CA"/>
              </w:rPr>
              <w:fldChar w:fldCharType="separate"/>
            </w:r>
            <w:r>
              <w:rPr>
                <w:b/>
                <w:lang w:val="en-CA"/>
              </w:rPr>
              <w:t>12/00A</w:t>
            </w:r>
            <w:r/>
            <w:r>
              <w:rPr>
                <w:b/>
                <w:lang w:val="en-CA"/>
              </w:rPr>
              <w:fldChar w:fldCharType="end"/>
            </w:r>
            <w:r>
              <w:rPr>
                <w:b/>
                <w:lang w:val="en-CA"/>
              </w:rPr>
            </w:r>
          </w:p>
        </w:tc>
        <w:tc>
          <w:tcPr>
            <w:tcW w:w="778" w:type="dxa"/>
            <w:tcBorders>
              <w:top w:val="single" w:sz="8" w:space="0" w:color="808080"/>
              <w:bottom w:val="single" w:sz="8" w:space="0" w:color="808080"/>
            </w:tcBorders>
          </w:tcPr>
          <w:p>
            <w:pPr>
              <w:pStyle w:val="SSBDataQ"/>
              <w:rPr>
                <w:b/>
              </w:rPr>
            </w:pPr>
            <w:r>
              <w:rPr>
                <w:b/>
              </w:rPr>
              <w:t>Actual</w:t>
            </w:r>
          </w:p>
        </w:tc>
        <w:tc>
          <w:tcPr>
            <w:tcW w:w="1008" w:type="dxa"/>
            <w:tcBorders>
              <w:top w:val="single" w:sz="8" w:space="0" w:color="808080"/>
              <w:bottom w:val="single" w:sz="8" w:space="0" w:color="808080"/>
            </w:tcBorders>
          </w:tcPr>
          <w:p>
            <w:pPr>
              <w:pStyle w:val="SSBDataQDecimal"/>
              <w:rPr>
                <w:b/>
              </w:rPr>
            </w:pPr>
            <w:r>
              <w:fldChar w:fldCharType="begin">
                <w:ffData>
                  <w:name w:val="TRC_Y1Q1"/>
                  <w:enabled/>
                  <w:calcOnExit w:val="0"/>
                  <w:textInput/>
                </w:ffData>
              </w:fldChar>
            </w:r>
            <w:r>
              <w:rPr>
                <w:b/>
                <w:lang w:val="en-CA"/>
              </w:rPr>
              <w:instrText xml:space="preserve"> FORMTEXT </w:instrText>
            </w:r>
            <w:r>
              <w:rPr>
                <w:b/>
                <w:lang w:val="en-CA"/>
              </w:rPr>
            </w:r>
            <w:r>
              <w:rPr>
                <w:b/>
                <w:lang w:val="en-CA"/>
              </w:rPr>
              <w:fldChar w:fldCharType="separate"/>
            </w:r>
            <w:r>
              <w:rPr>
                <w:b/>
                <w:lang w:val="en-CA"/>
              </w:rPr>
              <w:t>$0.40</w:t>
            </w:r>
            <w:r>
              <w:rPr>
                <w:b/>
                <w:lang w:val="en-CA"/>
              </w:rPr>
            </w:r>
            <w:r>
              <w:rPr>
                <w:b/>
                <w:lang w:val="en-CA"/>
              </w:rPr>
              <w:fldChar w:fldCharType="end"/>
            </w:r>
            <w:r>
              <w:fldChar w:fldCharType="begin">
                <w:ffData>
                  <w:name w:val="TRC_Y1Q1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2"/>
                  <w:enabled/>
                  <w:calcOnExit w:val="0"/>
                  <w:textInput/>
                </w:ffData>
              </w:fldChar>
            </w:r>
            <w:r>
              <w:rPr>
                <w:b/>
                <w:lang w:val="en-CA"/>
              </w:rPr>
              <w:instrText xml:space="preserve"> FORMTEXT </w:instrText>
            </w:r>
            <w:r>
              <w:rPr>
                <w:b/>
                <w:lang w:val="en-CA"/>
              </w:rPr>
            </w:r>
            <w:r>
              <w:rPr>
                <w:b/>
                <w:lang w:val="en-CA"/>
              </w:rPr>
              <w:fldChar w:fldCharType="separate"/>
            </w:r>
            <w:r>
              <w:rPr>
                <w:b/>
                <w:lang w:val="en-CA"/>
              </w:rPr>
              <w:t>$0.34</w:t>
            </w:r>
            <w:r>
              <w:rPr>
                <w:b/>
                <w:lang w:val="en-CA"/>
              </w:rPr>
            </w:r>
            <w:r>
              <w:rPr>
                <w:b/>
                <w:lang w:val="en-CA"/>
              </w:rPr>
              <w:fldChar w:fldCharType="end"/>
            </w:r>
            <w:r>
              <w:fldChar w:fldCharType="begin">
                <w:ffData>
                  <w:name w:val="TRC_Y1Q2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3"/>
                  <w:enabled/>
                  <w:calcOnExit w:val="0"/>
                  <w:textInput/>
                </w:ffData>
              </w:fldChar>
            </w:r>
            <w:r>
              <w:rPr>
                <w:b/>
                <w:lang w:val="en-CA"/>
              </w:rPr>
              <w:instrText xml:space="preserve"> FORMTEXT </w:instrText>
            </w:r>
            <w:r>
              <w:rPr>
                <w:b/>
                <w:lang w:val="en-CA"/>
              </w:rPr>
            </w:r>
            <w:r>
              <w:rPr>
                <w:b/>
                <w:lang w:val="en-CA"/>
              </w:rPr>
              <w:fldChar w:fldCharType="separate"/>
            </w:r>
            <w:r>
              <w:rPr>
                <w:b/>
                <w:lang w:val="en-CA"/>
              </w:rPr>
              <w:t>$0.34</w:t>
            </w:r>
            <w:r>
              <w:rPr>
                <w:b/>
                <w:lang w:val="en-CA"/>
              </w:rPr>
            </w:r>
            <w:r>
              <w:rPr>
                <w:b/>
                <w:lang w:val="en-CA"/>
              </w:rPr>
              <w:fldChar w:fldCharType="end"/>
            </w:r>
            <w:r>
              <w:fldChar w:fldCharType="begin">
                <w:ffData>
                  <w:name w:val="TRC_Y1Q3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4"/>
                  <w:enabled/>
                  <w:calcOnExit w:val="0"/>
                  <w:textInput/>
                </w:ffData>
              </w:fldChar>
            </w:r>
            <w:r>
              <w:rPr>
                <w:b/>
                <w:lang w:val="en-CA"/>
              </w:rPr>
              <w:instrText xml:space="preserve"> FORMTEXT </w:instrText>
            </w:r>
            <w:r>
              <w:rPr>
                <w:b/>
                <w:lang w:val="en-CA"/>
              </w:rPr>
            </w:r>
            <w:r>
              <w:rPr>
                <w:b/>
                <w:lang w:val="en-CA"/>
              </w:rPr>
              <w:fldChar w:fldCharType="separate"/>
            </w:r>
            <w:r>
              <w:rPr>
                <w:b/>
                <w:lang w:val="en-CA"/>
              </w:rPr>
              <w:t>$0.41</w:t>
            </w:r>
            <w:r>
              <w:rPr>
                <w:b/>
                <w:lang w:val="en-CA"/>
              </w:rPr>
            </w:r>
            <w:r>
              <w:rPr>
                <w:b/>
                <w:lang w:val="en-CA"/>
              </w:rPr>
              <w:fldChar w:fldCharType="end"/>
            </w:r>
            <w:r>
              <w:fldChar w:fldCharType="begin">
                <w:ffData>
                  <w:name w:val="TRC_Y1Q4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TOTAL"/>
                  <w:enabled/>
                  <w:calcOnExit w:val="0"/>
                  <w:textInput/>
                </w:ffData>
              </w:fldChar>
            </w:r>
            <w:r>
              <w:rPr>
                <w:b/>
                <w:lang w:val="en-CA"/>
              </w:rPr>
              <w:instrText xml:space="preserve"> FORMTEXT </w:instrText>
            </w:r>
            <w:r>
              <w:rPr>
                <w:b/>
                <w:lang w:val="en-CA"/>
              </w:rPr>
            </w:r>
            <w:r>
              <w:rPr>
                <w:b/>
                <w:lang w:val="en-CA"/>
              </w:rPr>
              <w:fldChar w:fldCharType="separate"/>
            </w:r>
            <w:r>
              <w:rPr>
                <w:b/>
                <w:lang w:val="en-CA"/>
              </w:rPr>
              <w:t>$1.47</w:t>
            </w:r>
            <w:r>
              <w:rPr>
                <w:b/>
                <w:lang w:val="en-CA"/>
              </w:rPr>
            </w:r>
            <w:r>
              <w:rPr>
                <w:b/>
                <w:lang w:val="en-CA"/>
              </w:rPr>
              <w:fldChar w:fldCharType="end"/>
            </w:r>
            <w:r>
              <w:fldChar w:fldCharType="begin">
                <w:ffData>
                  <w:name w:val="TRC_Y1TOTAL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r>
      <w:tr>
        <w:trPr>
          <w:trHeight w:val="240" w:hRule="exact"/>
        </w:trPr>
        <w:tc>
          <w:tcPr>
            <w:tcW w:w="864" w:type="dxa"/>
            <w:tcBorders/>
          </w:tcPr>
          <w:p>
            <w:pPr>
              <w:pStyle w:val="SSBDataQ"/>
              <w:rPr>
                <w:b/>
              </w:rPr>
            </w:pPr>
            <w:r>
              <w:fldChar w:fldCharType="begin">
                <w:ffData>
                  <w:name w:val="TRC_QDYear2"/>
                  <w:enabled/>
                  <w:calcOnExit w:val="0"/>
                  <w:textInput/>
                </w:ffData>
              </w:fldChar>
            </w:r>
            <w:r>
              <w:rPr>
                <w:b/>
                <w:lang w:val="en-CA"/>
              </w:rPr>
              <w:instrText xml:space="preserve"> FORMTEXT </w:instrText>
            </w:r>
            <w:r>
              <w:rPr>
                <w:b/>
                <w:lang w:val="en-CA"/>
              </w:rPr>
            </w:r>
            <w:r>
              <w:rPr>
                <w:b/>
                <w:lang w:val="en-CA"/>
              </w:rPr>
              <w:fldChar w:fldCharType="separate"/>
            </w:r>
            <w:r>
              <w:rPr>
                <w:b/>
                <w:lang w:val="en-CA"/>
              </w:rPr>
              <w:t>12/01E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2Q1"/>
                  <w:enabled/>
                  <w:calcOnExit w:val="0"/>
                  <w:textInput/>
                </w:ffData>
              </w:fldChar>
            </w:r>
            <w:r>
              <w:rPr>
                <w:b/>
                <w:lang w:val="en-CA"/>
              </w:rPr>
              <w:instrText xml:space="preserve"> FORMTEXT </w:instrText>
            </w:r>
            <w:r>
              <w:rPr>
                <w:b/>
                <w:lang w:val="en-CA"/>
              </w:rPr>
            </w:r>
            <w:r>
              <w:rPr>
                <w:b/>
                <w:lang w:val="en-CA"/>
              </w:rPr>
              <w:fldChar w:fldCharType="separate"/>
            </w:r>
            <w:r>
              <w:rPr>
                <w:b/>
                <w:lang w:val="en-CA"/>
              </w:rPr>
              <w:t>$0.47</w:t>
            </w:r>
            <w:r>
              <w:rPr>
                <w:b/>
                <w:lang w:val="en-CA"/>
              </w:rPr>
            </w:r>
            <w:r>
              <w:rPr>
                <w:b/>
                <w:lang w:val="en-CA"/>
              </w:rPr>
              <w:fldChar w:fldCharType="end"/>
            </w:r>
            <w:r>
              <w:fldChar w:fldCharType="begin">
                <w:ffData>
                  <w:name w:val="TRC_Y2Q1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cPr>
          <w:p>
            <w:pPr>
              <w:pStyle w:val="SSBDataQDecimal"/>
              <w:rPr>
                <w:b/>
              </w:rPr>
            </w:pPr>
            <w:r>
              <w:fldChar w:fldCharType="begin">
                <w:ffData>
                  <w:name w:val="TRC_Y2Q2"/>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2Q2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2Q3"/>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2Q3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2Q4"/>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2Q4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2TOTAL"/>
                  <w:enabled/>
                  <w:calcOnExit w:val="0"/>
                  <w:textInput/>
                </w:ffData>
              </w:fldChar>
            </w:r>
            <w:r>
              <w:rPr>
                <w:b/>
                <w:lang w:val="en-CA"/>
              </w:rPr>
              <w:instrText xml:space="preserve"> FORMTEXT </w:instrText>
            </w:r>
            <w:r>
              <w:rPr>
                <w:b/>
                <w:lang w:val="en-CA"/>
              </w:rPr>
            </w:r>
            <w:r>
              <w:rPr>
                <w:b/>
                <w:lang w:val="en-CA"/>
              </w:rPr>
              <w:fldChar w:fldCharType="separate"/>
            </w:r>
            <w:r>
              <w:rPr>
                <w:b/>
                <w:lang w:val="en-CA"/>
              </w:rPr>
              <w:t>$1.80</w:t>
            </w:r>
            <w:r>
              <w:rPr>
                <w:b/>
                <w:lang w:val="en-CA"/>
              </w:rPr>
            </w:r>
            <w:r>
              <w:rPr>
                <w:b/>
                <w:lang w:val="en-CA"/>
              </w:rPr>
              <w:fldChar w:fldCharType="end"/>
            </w:r>
            <w:r>
              <w:fldChar w:fldCharType="begin">
                <w:ffData>
                  <w:name w:val="TRC_Y2TOTAL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2Q1_P"/>
                  <w:enabled/>
                  <w:calcOnExit w:val="0"/>
                  <w:textInput/>
                </w:ffData>
              </w:fldChar>
            </w:r>
            <w:r>
              <w:rPr>
                <w:lang w:val="en-CA"/>
              </w:rPr>
              <w:instrText xml:space="preserve"> FORMTEXT </w:instrText>
            </w:r>
            <w:r>
              <w:rPr>
                <w:lang w:val="en-CA"/>
              </w:rPr>
            </w:r>
            <w:r>
              <w:rPr>
                <w:lang w:val="en-CA"/>
              </w:rPr>
              <w:fldChar w:fldCharType="separate"/>
            </w:r>
            <w:r>
              <w:rPr>
                <w:lang w:val="en-CA"/>
              </w:rPr>
              <w:t>$0.47</w:t>
            </w:r>
            <w:r>
              <w:rPr>
                <w:lang w:val="en-CA"/>
              </w:rPr>
            </w:r>
            <w:r>
              <w:rPr>
                <w:lang w:val="en-CA"/>
              </w:rPr>
              <w:fldChar w:fldCharType="end"/>
            </w:r>
            <w:r>
              <w:fldChar w:fldCharType="begin">
                <w:ffData>
                  <w:name w:val="TRC_Y2Q1AE_P"/>
                  <w:enabled/>
                  <w:calcOnExit w:val="0"/>
                  <w:textInput/>
                </w:ffData>
              </w:fldChar>
            </w:r>
            <w:r>
              <w:rPr>
                <w:lang w:val="en-CA"/>
              </w:rPr>
              <w:instrText xml:space="preserve"> FORMTEXT </w:instrText>
            </w:r>
            <w:r>
              <w:rPr>
                <w:lang w:val="en-CA"/>
              </w:rPr>
            </w:r>
            <w:r>
              <w:rPr>
                <w:lang w:val="en-CA"/>
              </w:rPr>
              <w:fldChar w:fldCharType="separate"/>
            </w:r>
            <w:r>
              <w:rPr>
                <w:lang w:val="en-CA"/>
              </w:rPr>
              <w:t>A</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2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2Q2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3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2Q3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4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2Q4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TOTAL_P"/>
                  <w:enabled/>
                  <w:calcOnExit w:val="0"/>
                  <w:textInput/>
                </w:ffData>
              </w:fldChar>
            </w:r>
            <w:r>
              <w:rPr>
                <w:lang w:val="en-CA"/>
              </w:rPr>
              <w:instrText xml:space="preserve"> FORMTEXT </w:instrText>
            </w:r>
            <w:r>
              <w:rPr>
                <w:lang w:val="en-CA"/>
              </w:rPr>
            </w:r>
            <w:r>
              <w:rPr>
                <w:lang w:val="en-CA"/>
              </w:rPr>
              <w:fldChar w:fldCharType="separate"/>
            </w:r>
            <w:r>
              <w:rPr>
                <w:lang w:val="en-CA"/>
              </w:rPr>
              <w:t>$1.80</w:t>
            </w:r>
            <w:r>
              <w:rPr>
                <w:lang w:val="en-CA"/>
              </w:rPr>
            </w:r>
            <w:r>
              <w:rPr>
                <w:lang w:val="en-CA"/>
              </w:rPr>
              <w:fldChar w:fldCharType="end"/>
            </w:r>
            <w:r>
              <w:fldChar w:fldCharType="begin">
                <w:ffData>
                  <w:name w:val="TRC_Y2TOTAL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r>
      <w:tr>
        <w:trPr>
          <w:trHeight w:val="240" w:hRule="exact"/>
        </w:trPr>
        <w:tc>
          <w:tcPr>
            <w:tcW w:w="864" w:type="dxa"/>
            <w:tcBorders/>
          </w:tcPr>
          <w:p>
            <w:pPr>
              <w:pStyle w:val="SSBDataQ"/>
              <w:rPr>
                <w:b/>
              </w:rPr>
            </w:pPr>
            <w:r>
              <w:fldChar w:fldCharType="begin">
                <w:ffData>
                  <w:name w:val="TRC_QDYear3"/>
                  <w:enabled/>
                  <w:calcOnExit w:val="0"/>
                  <w:textInput/>
                </w:ffData>
              </w:fldChar>
            </w:r>
            <w:r>
              <w:rPr>
                <w:b/>
                <w:lang w:val="en-CA"/>
              </w:rPr>
              <w:instrText xml:space="preserve"> FORMTEXT </w:instrText>
            </w:r>
            <w:r>
              <w:rPr>
                <w:b/>
                <w:lang w:val="en-CA"/>
              </w:rPr>
            </w:r>
            <w:r>
              <w:rPr>
                <w:b/>
                <w:lang w:val="en-CA"/>
              </w:rPr>
              <w:fldChar w:fldCharType="separate"/>
            </w:r>
            <w:r>
              <w:rPr>
                <w:b/>
                <w:lang w:val="en-CA"/>
              </w:rPr>
              <w:t>12/02E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3Q1"/>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1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2"/>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2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3"/>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3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4"/>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4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TOTAL"/>
                  <w:enabled/>
                  <w:calcOnExit w:val="0"/>
                  <w:textInput/>
                </w:ffData>
              </w:fldChar>
            </w:r>
            <w:r>
              <w:rPr>
                <w:b/>
                <w:lang w:val="en-CA"/>
              </w:rPr>
              <w:instrText xml:space="preserve"> FORMTEXT </w:instrText>
            </w:r>
            <w:r>
              <w:rPr>
                <w:b/>
                <w:lang w:val="en-CA"/>
              </w:rPr>
            </w:r>
            <w:r>
              <w:rPr>
                <w:b/>
                <w:lang w:val="en-CA"/>
              </w:rPr>
              <w:fldChar w:fldCharType="separate"/>
            </w:r>
            <w:r>
              <w:rPr>
                <w:b/>
                <w:lang w:val="en-CA"/>
              </w:rPr>
              <w:t>$2.05</w:t>
            </w:r>
            <w:r>
              <w:rPr>
                <w:b/>
                <w:lang w:val="en-CA"/>
              </w:rPr>
            </w:r>
            <w:r>
              <w:rPr>
                <w:b/>
                <w:lang w:val="en-CA"/>
              </w:rPr>
              <w:fldChar w:fldCharType="end"/>
            </w:r>
            <w:r>
              <w:fldChar w:fldCharType="begin">
                <w:ffData>
                  <w:name w:val="TRC_Y3TOTAL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3Q1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1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2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2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3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3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4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4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TOTAL_P"/>
                  <w:enabled/>
                  <w:calcOnExit w:val="0"/>
                  <w:textInput/>
                </w:ffData>
              </w:fldChar>
            </w:r>
            <w:r>
              <w:rPr>
                <w:lang w:val="en-CA"/>
              </w:rPr>
              <w:instrText xml:space="preserve"> FORMTEXT </w:instrText>
            </w:r>
            <w:r>
              <w:rPr>
                <w:lang w:val="en-CA"/>
              </w:rPr>
            </w:r>
            <w:r>
              <w:rPr>
                <w:lang w:val="en-CA"/>
              </w:rPr>
              <w:fldChar w:fldCharType="separate"/>
            </w:r>
            <w:r>
              <w:rPr>
                <w:lang w:val="en-CA"/>
              </w:rPr>
              <w:t>$2.05</w:t>
            </w:r>
            <w:r>
              <w:rPr>
                <w:lang w:val="en-CA"/>
              </w:rPr>
            </w:r>
            <w:r>
              <w:rPr>
                <w:lang w:val="en-CA"/>
              </w:rPr>
              <w:fldChar w:fldCharType="end"/>
            </w:r>
            <w:r>
              <w:fldChar w:fldCharType="begin">
                <w:ffData>
                  <w:name w:val="TRC_Y3TOTAL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r>
      <w:tr>
        <w:trPr>
          <w:trHeight w:val="240" w:hRule="exact"/>
        </w:trPr>
        <w:tc>
          <w:tcPr>
            <w:tcW w:w="864" w:type="dxa"/>
            <w:tcBorders/>
          </w:tcPr>
          <w:p>
            <w:pPr>
              <w:pStyle w:val="SSBDataQ"/>
              <w:rPr>
                <w:b/>
              </w:rPr>
            </w:pPr>
            <w:r>
              <w:fldChar w:fldCharType="begin">
                <w:ffData>
                  <w:name w:val="TRC_QDYear4"/>
                  <w:enabled/>
                  <w:calcOnExit w:val="0"/>
                  <w:textInput/>
                </w:ffData>
              </w:fldChar>
            </w:r>
            <w:r>
              <w:rPr>
                <w:b/>
                <w:lang w:val="en-CA"/>
              </w:rPr>
              <w:instrText xml:space="preserve"> FORMTEXT </w:instrText>
            </w:r>
            <w:r>
              <w:rPr>
                <w:b/>
                <w:lang w:val="en-CA"/>
              </w:rPr>
            </w:r>
            <w:r>
              <w:rPr>
                <w:b/>
                <w:lang w:val="en-CA"/>
              </w:rPr>
              <w:fldChar w:fldCharType="separate"/>
            </w:r>
            <w:r>
              <w:rPr>
                <w:b/>
                <w:lang w:val="en-CA"/>
              </w:rPr>
              <w:t>12/03E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4Q1"/>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1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2"/>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2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3"/>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3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4"/>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4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TOTAL"/>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TOTAL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r>
      <w:tr>
        <w:trPr>
          <w:trHeight w:val="240" w:hRule="exact"/>
        </w:trPr>
        <w:tc>
          <w:tcPr>
            <w:tcW w:w="864" w:type="dxa"/>
            <w:tcBorders>
              <w:bottom w:val="single" w:sz="12" w:space="0" w:color="808080"/>
            </w:tcBorders>
          </w:tcPr>
          <w:p>
            <w:pPr>
              <w:pStyle w:val="SSBDataQ"/>
              <w:snapToGrid w:val="false"/>
              <w:rPr>
                <w:b/>
              </w:rPr>
            </w:pPr>
            <w:r>
              <w:rPr>
                <w:b/>
              </w:rPr>
            </w:r>
          </w:p>
        </w:tc>
        <w:tc>
          <w:tcPr>
            <w:tcW w:w="778" w:type="dxa"/>
            <w:tcBorders>
              <w:bottom w:val="single" w:sz="12" w:space="0" w:color="808080"/>
            </w:tcBorders>
          </w:tcPr>
          <w:p>
            <w:pPr>
              <w:pStyle w:val="SSBDataQ"/>
              <w:rPr/>
            </w:pPr>
            <w:r>
              <w:rPr/>
              <w:t>Previous</w:t>
            </w:r>
          </w:p>
        </w:tc>
        <w:tc>
          <w:tcPr>
            <w:tcW w:w="1008" w:type="dxa"/>
            <w:tcBorders>
              <w:bottom w:val="single" w:sz="12" w:space="0" w:color="808080"/>
            </w:tcBorders>
          </w:tcPr>
          <w:p>
            <w:pPr>
              <w:pStyle w:val="SSBDataQDecimal"/>
              <w:rPr/>
            </w:pPr>
            <w:r>
              <w:fldChar w:fldCharType="begin">
                <w:ffData>
                  <w:name w:val="TRC_Y4Q1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1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2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2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3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3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4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4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TOTAL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TOTAL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240" w:hRule="atLeast"/>
        </w:trPr>
        <w:tc>
          <w:tcPr>
            <w:tcW w:w="6682" w:type="dxa"/>
            <w:gridSpan w:val="7"/>
            <w:tcBorders/>
          </w:tcPr>
          <w:p>
            <w:pPr>
              <w:pStyle w:val="SSBData"/>
              <w:spacing w:lineRule="exact" w:line="220" w:before="0" w:after="60"/>
              <w:rPr/>
            </w:pPr>
            <w:r>
              <w:fldChar w:fldCharType="begin">
                <w:ffData>
                  <w:name w:val="trc_FtNote1_Text"/>
                  <w:enabled/>
                  <w:calcOnExit w:val="0"/>
                  <w:textInput/>
                </w:ffData>
              </w:fldChar>
            </w:r>
            <w:r>
              <w:rPr>
                <w:lang w:val="en-CA"/>
              </w:rPr>
              <w:instrText xml:space="preserve"> FORMTEXT </w:instrText>
            </w:r>
            <w:bookmarkStart w:id="2" w:name="trc_FtNote1_Text_Copy_1"/>
            <w:r>
              <w:rPr>
                <w:lang w:val="en-CA"/>
              </w:rPr>
            </w:r>
            <w:r>
              <w:rPr>
                <w:lang w:val="en-CA"/>
              </w:rPr>
              <w:fldChar w:fldCharType="separate"/>
            </w:r>
            <w:r>
              <w:rPr>
                <w:lang w:val="en-CA"/>
              </w:rPr>
              <w:t>First Call Consensus EPS</w:t>
            </w:r>
            <w:r>
              <w:rPr>
                <w:lang w:val="en-CA"/>
              </w:rPr>
            </w:r>
            <w:r>
              <w:rPr>
                <w:lang w:val="en-CA"/>
              </w:rPr>
              <w:fldChar w:fldCharType="end"/>
            </w:r>
            <w:bookmarkEnd w:id="2"/>
            <w:r>
              <w:rPr/>
              <w:t xml:space="preserve">: </w:t>
            </w:r>
            <w:r>
              <w:fldChar w:fldCharType="begin">
                <w:ffData>
                  <w:name w:val="trc_QDYear2_a3"/>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 xml:space="preserve"> </w:t>
            </w:r>
            <w:r>
              <w:fldChar w:fldCharType="begin">
                <w:ffData>
                  <w:name w:val="trc_Y2CONSEPS"/>
                  <w:enabled/>
                  <w:calcOnExit w:val="0"/>
                  <w:textInput/>
                </w:ffData>
              </w:fldChar>
            </w:r>
            <w:r>
              <w:rPr>
                <w:lang w:val="en-CA"/>
              </w:rPr>
              <w:instrText xml:space="preserve"> FORMTEXT </w:instrText>
            </w:r>
            <w:r>
              <w:rPr>
                <w:lang w:val="en-CA"/>
              </w:rPr>
            </w:r>
            <w:r>
              <w:rPr>
                <w:lang w:val="en-CA"/>
              </w:rPr>
              <w:fldChar w:fldCharType="separate"/>
            </w:r>
            <w:r>
              <w:rPr>
                <w:lang w:val="en-CA"/>
              </w:rPr>
              <w:t>$1.75</w:t>
            </w:r>
            <w:r>
              <w:rPr>
                <w:lang w:val="en-CA"/>
              </w:rPr>
            </w:r>
            <w:r>
              <w:rPr>
                <w:lang w:val="en-CA"/>
              </w:rPr>
              <w:fldChar w:fldCharType="end"/>
            </w:r>
            <w:r>
              <w:rPr/>
              <w:t xml:space="preserve">; </w:t>
            </w:r>
            <w:r>
              <w:fldChar w:fldCharType="begin">
                <w:ffData>
                  <w:name w:val="trc_QDYear3_a3"/>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 xml:space="preserve"> </w:t>
            </w:r>
            <w:r>
              <w:fldChar w:fldCharType="begin">
                <w:ffData>
                  <w:name w:val="trc_Y3CONSEPS"/>
                  <w:enabled/>
                  <w:calcOnExit w:val="0"/>
                  <w:textInput/>
                </w:ffData>
              </w:fldChar>
            </w:r>
            <w:r>
              <w:rPr>
                <w:lang w:val="en-CA"/>
              </w:rPr>
              <w:instrText xml:space="preserve"> FORMTEXT </w:instrText>
            </w:r>
            <w:r>
              <w:rPr>
                <w:lang w:val="en-CA"/>
              </w:rPr>
            </w:r>
            <w:r>
              <w:rPr>
                <w:lang w:val="en-CA"/>
              </w:rPr>
              <w:fldChar w:fldCharType="separate"/>
            </w:r>
            <w:r>
              <w:rPr>
                <w:lang w:val="en-CA"/>
              </w:rPr>
              <w:t>$1.98</w:t>
            </w:r>
            <w:r>
              <w:rPr>
                <w:lang w:val="en-CA"/>
              </w:rPr>
            </w:r>
            <w:r>
              <w:rPr>
                <w:lang w:val="en-CA"/>
              </w:rPr>
              <w:fldChar w:fldCharType="end"/>
            </w:r>
            <w:r>
              <w:rPr/>
              <w:t xml:space="preserve">; </w:t>
            </w:r>
            <w:r>
              <w:fldChar w:fldCharType="begin">
                <w:ffData>
                  <w:name w:val="trc_QDYear4_a3"/>
                  <w:enabled/>
                  <w:calcOnExit w:val="0"/>
                  <w:textInput/>
                </w:ffData>
              </w:fldChar>
            </w:r>
            <w:r>
              <w:rPr>
                <w:lang w:val="en-CA"/>
              </w:rPr>
              <w:instrText xml:space="preserve"> FORMTEXT </w:instrText>
            </w:r>
            <w:r>
              <w:rPr>
                <w:lang w:val="en-CA"/>
              </w:rPr>
            </w:r>
            <w:r>
              <w:rPr>
                <w:lang w:val="en-CA"/>
              </w:rPr>
              <w:fldChar w:fldCharType="separate"/>
            </w:r>
            <w:r>
              <w:rPr>
                <w:lang w:val="en-CA"/>
              </w:rPr>
              <w:t>12/03E</w:t>
            </w:r>
            <w:r>
              <w:rPr>
                <w:lang w:val="en-CA"/>
              </w:rPr>
            </w:r>
            <w:r>
              <w:rPr>
                <w:lang w:val="en-CA"/>
              </w:rPr>
              <w:fldChar w:fldCharType="end"/>
            </w:r>
            <w:r>
              <w:rPr/>
              <w:t xml:space="preserve"> </w:t>
            </w:r>
            <w:r>
              <w:fldChar w:fldCharType="begin">
                <w:ffData>
                  <w:name w:val="trc_Y4CONSEPS"/>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bl>
    <w:p>
      <w:pPr>
        <w:pStyle w:val="SSBTableSpacerHidden"/>
        <w:rPr/>
      </w:pPr>
      <w:r>
        <w:rPr/>
      </w:r>
    </w:p>
    <w:p>
      <w:pPr>
        <w:sectPr>
          <w:type w:val="continuous"/>
          <w:pgSz w:w="12240" w:h="15840"/>
          <w:pgMar w:left="3096" w:right="1310" w:gutter="0" w:header="504" w:top="1008" w:footer="576" w:bottom="965"/>
          <w:cols w:num="2" w:equalWidth="false" w:sep="false">
            <w:col w:w="1152" w:space="0"/>
            <w:col w:w="6682"/>
          </w:cols>
          <w:formProt w:val="true"/>
          <w:titlePg/>
          <w:textDirection w:val="lrTb"/>
          <w:docGrid w:type="default" w:linePitch="360" w:charSpace="0"/>
        </w:sectPr>
      </w:pPr>
    </w:p>
    <w:p>
      <w:pPr>
        <w:pStyle w:val="SSBBodyHeading"/>
        <w:rPr/>
      </w:pPr>
      <w:r>
        <w:rPr/>
        <w:t>1Q:01 RESULTS, top down view</w:t>
      </w:r>
    </w:p>
    <w:p>
      <w:pPr>
        <w:pStyle w:val="SSBBodyText"/>
        <w:rPr/>
      </w:pPr>
      <w:r>
        <w:rPr>
          <w:b/>
        </w:rPr>
        <w:t>WHOLESALE ENERGY:  KEY DRIVER.</w:t>
      </w:r>
      <w:r>
        <w:rPr/>
        <w:t xml:space="preserve">  We reiterate our 1H (Buy, High Risk) rating and $100 price target on ENE following their announcement of strong 1Q:01 operating EPS of $0.47 vs. $0.40 in the year-ago period, ahead of our and consensus estimates of $0.43 and $0.45, respectively. ENE also raised their 2001 EPS guidance by $0.05 to $1.75-$1.80; we have raised our 2001 EPS estimate to $1.80.  These results are driven in large part by wholesale energy (“merchant energy”) segment, which saw a 76% increase in earnings year/year. We expect this segment to be the primary growth driver for Enron over the next 5 years, as energy markets around the world continue to deregulate and Enron continues to successfully leverage its industry-leading intermediation skills.  We estimate only 15%-20% of an $800 billion global merchant energy opportunity has been commoditized to date.  We expect Enron’s return-on-capital, already at 11%, to continue to improve, as the company grows its merchant energy business and sells its non-core international gas and power projects.</w:t>
      </w:r>
    </w:p>
    <w:p>
      <w:pPr>
        <w:pStyle w:val="SSBBodyText"/>
        <w:rPr/>
      </w:pPr>
      <w:r>
        <w:rPr>
          <w:b/>
        </w:rPr>
        <w:t>BANDWIDTH INTERMEDIATION--DEALS ARE GETTING DONE:</w:t>
      </w:r>
      <w:r>
        <w:rPr/>
        <w:t xml:space="preserve">  Bandwidth intermediation/trading was the other key driver, with 580 transactions posted during the quarter, a significant ramp-up from 232 reported 4Q:00 and 320 for all of 2000.  In our view, we are way past the question </w:t>
      </w:r>
      <w:r>
        <w:rPr>
          <w:b/>
        </w:rPr>
        <w:t>“Can bandwidth be commoditized?”</w:t>
      </w:r>
      <w:r>
        <w:rPr/>
        <w:t xml:space="preserve"> and are entering the period of rapid growth in commodity volumes which precedes the all-important emergence of profitability.  In the energy commodity markets, particularly natural gas and power in both the United States and Europe, the commodity volume growth phase lasted 1-3 years before profitability emerged.  We see no reason for the bandwidth commodity market,  which from a commodity perspective “looks, acts and feels” like electricity and natural gas, to perform any differently from these commodities.  We are entering Year 2 of the period of rapid volume growth.  The next catalyst in our view, will be for Enron to announce a reasonably “date certain” for profitability, much in the same manner as they did for Enron Energy Services several years ago.  We think that date could be late 2002 or early 2003.</w:t>
      </w:r>
    </w:p>
    <w:p>
      <w:pPr>
        <w:pStyle w:val="SSBBodyText"/>
        <w:rPr/>
      </w:pPr>
      <w:r>
        <w:rPr>
          <w:b/>
        </w:rPr>
        <w:t>CALIFORNIA EXPOSURE--HIGHER-THAN-EXPECTED, BUT WELL-RESERVED:</w:t>
      </w:r>
      <w:r>
        <w:rPr/>
        <w:t xml:space="preserve">  Enron came clean late last week on their receivables exposure to California, a number considerably larger than we had anticipated.  At $580 million, Enron’s receivable exposure to PCG is larger than our expectations.  However, most of this amount has been embedded in earnings, presenting little, if any, risk to future earnings.  We estimate that 80% or more of this amount has been reserved.  Of the $580 million, we estimate that $400 million are from Enron Energy Services (EES), their retail group, as EES has yet to be paid a fee owed to them by PCG for customers who have switched from the utility to Enron as their service provider.  According to the company, this amount is no longer growing.  Our rough estimate of overall California exposure is approximately $800 million, given that PCG represents proportionately greater exposure for Enron than EIX.  This equates to $0.66 EPS or 37% of our revised 2001 EPS estimate, percentage still in line with other companies.</w:t>
      </w:r>
    </w:p>
    <w:p>
      <w:pPr>
        <w:pStyle w:val="SSBBodyText"/>
        <w:rPr>
          <w:b/>
        </w:rPr>
      </w:pPr>
      <w:r>
        <w:rPr>
          <w:b/>
        </w:rPr>
        <w:t>KEY FINANCIAL RESULTS, COMMENTARY</w:t>
      </w:r>
    </w:p>
    <w:tbl>
      <w:tblPr>
        <w:tblW w:w="8048" w:type="dxa"/>
        <w:jc w:val="start"/>
        <w:tblInd w:w="0" w:type="dxa"/>
        <w:tblLayout w:type="fixed"/>
        <w:tblCellMar>
          <w:top w:w="0" w:type="dxa"/>
          <w:start w:w="108" w:type="dxa"/>
          <w:bottom w:w="0" w:type="dxa"/>
          <w:end w:w="108" w:type="dxa"/>
        </w:tblCellMar>
      </w:tblPr>
      <w:tblGrid>
        <w:gridCol w:w="3708"/>
        <w:gridCol w:w="720"/>
        <w:gridCol w:w="720"/>
        <w:gridCol w:w="2900"/>
      </w:tblGrid>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KEY OPERATING RESULTS: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1Q:01</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1Q:00</w:t>
            </w:r>
          </w:p>
        </w:tc>
        <w:tc>
          <w:tcPr>
            <w:tcW w:w="290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8"/>
              </w:rPr>
            </w:pPr>
            <w:r>
              <w:rPr>
                <w:b/>
                <w:sz w:val="18"/>
              </w:rPr>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90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Wholesale Services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$755</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$429</w:t>
            </w:r>
          </w:p>
        </w:tc>
        <w:tc>
          <w:tcPr>
            <w:tcW w:w="2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6"/>
              </w:rPr>
            </w:pPr>
            <w:r>
              <w:rPr>
                <w:b/>
                <w:sz w:val="16"/>
              </w:rPr>
              <w:t>KEY GROWTH DRIVER: UP  76%</w:t>
            </w:r>
          </w:p>
        </w:tc>
      </w:tr>
      <w:tr>
        <w:trPr>
          <w:trHeight w:val="523"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Commodity Sales &amp; Services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485</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256</w:t>
            </w:r>
          </w:p>
        </w:tc>
        <w:tc>
          <w:tcPr>
            <w:tcW w:w="2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6"/>
              </w:rPr>
            </w:pPr>
            <w:r>
              <w:rPr>
                <w:sz w:val="16"/>
              </w:rPr>
              <w:t>Key Drivers: EnronOnline, strong wintertime volatility</w:t>
              <w:br/>
              <w:br/>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Energy Assets &amp; Investments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59</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220</w:t>
            </w:r>
          </w:p>
        </w:tc>
        <w:tc>
          <w:tcPr>
            <w:tcW w:w="290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Unallocated</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(89)</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(47)</w:t>
            </w:r>
          </w:p>
        </w:tc>
        <w:tc>
          <w:tcPr>
            <w:tcW w:w="290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r>
      <w:tr>
        <w:trPr>
          <w:trHeight w:val="478"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Retail Energy Services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40</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6</w:t>
            </w:r>
          </w:p>
        </w:tc>
        <w:tc>
          <w:tcPr>
            <w:tcW w:w="2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6"/>
              </w:rPr>
            </w:pPr>
            <w:r>
              <w:rPr>
                <w:sz w:val="16"/>
              </w:rPr>
              <w:t>$5.9B new contracts in line with $32B goal for 2001</w:t>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Transportation &amp; Distribution</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193</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233</w:t>
            </w:r>
          </w:p>
        </w:tc>
        <w:tc>
          <w:tcPr>
            <w:tcW w:w="290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rPr>
                <w:sz w:val="18"/>
              </w:rPr>
            </w:pPr>
            <w:r>
              <w:rPr>
                <w:sz w:val="18"/>
              </w:rPr>
              <w:t xml:space="preserve">      </w:t>
            </w:r>
            <w:r>
              <w:rPr>
                <w:sz w:val="18"/>
              </w:rPr>
              <w:t>Gas Pipeline Group</w:t>
            </w:r>
          </w:p>
          <w:p>
            <w:pPr>
              <w:pStyle w:val="SSBBodyText"/>
              <w:spacing w:before="0" w:after="180"/>
              <w:rPr>
                <w:sz w:val="18"/>
              </w:rPr>
            </w:pPr>
            <w:r>
              <w:rPr>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 xml:space="preserve">133 </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128</w:t>
            </w:r>
          </w:p>
        </w:tc>
        <w:tc>
          <w:tcPr>
            <w:tcW w:w="290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6"/>
              </w:rPr>
            </w:pPr>
            <w:r>
              <w:rPr>
                <w:sz w:val="16"/>
              </w:rPr>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Portland General</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60</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105</w:t>
            </w:r>
          </w:p>
        </w:tc>
        <w:tc>
          <w:tcPr>
            <w:tcW w:w="2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6"/>
              </w:rPr>
            </w:pPr>
            <w:r>
              <w:rPr>
                <w:sz w:val="16"/>
              </w:rPr>
              <w:t>Sale pending CA situation</w:t>
            </w:r>
          </w:p>
        </w:tc>
      </w:tr>
      <w:tr>
        <w:trPr>
          <w:trHeight w:val="271"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Broadband Services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(35)</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w:t>
            </w:r>
          </w:p>
        </w:tc>
        <w:tc>
          <w:tcPr>
            <w:tcW w:w="2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6"/>
              </w:rPr>
            </w:pPr>
            <w:r>
              <w:rPr>
                <w:sz w:val="16"/>
              </w:rPr>
              <w:t>Start-up loss in line</w:t>
            </w:r>
          </w:p>
        </w:tc>
      </w:tr>
      <w:tr>
        <w:trPr>
          <w:trHeight w:val="478"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Corporate &amp; Other</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(158)</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(44)</w:t>
            </w:r>
          </w:p>
        </w:tc>
        <w:tc>
          <w:tcPr>
            <w:tcW w:w="2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6"/>
              </w:rPr>
            </w:pPr>
            <w:r>
              <w:rPr>
                <w:sz w:val="16"/>
              </w:rPr>
              <w:t>Operating losses from non-core businesses (Azurix, etc.); should decrease</w:t>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Total IBIT</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 xml:space="preserve">$795  </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$624</w:t>
            </w:r>
          </w:p>
        </w:tc>
        <w:tc>
          <w:tcPr>
            <w:tcW w:w="2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Up 79%</w:t>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Interest Expense</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201</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161</w:t>
            </w:r>
          </w:p>
        </w:tc>
        <w:tc>
          <w:tcPr>
            <w:tcW w:w="290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Effective Tax Rate</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24%   22222%</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17%  14% 14%</w:t>
            </w:r>
          </w:p>
        </w:tc>
        <w:tc>
          <w:tcPr>
            <w:tcW w:w="290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6"/>
              </w:rPr>
            </w:pPr>
            <w:r>
              <w:rPr>
                <w:sz w:val="16"/>
              </w:rPr>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rPr>
                <w:sz w:val="18"/>
              </w:rPr>
            </w:pPr>
            <w:r>
              <w:rPr>
                <w:sz w:val="18"/>
              </w:rPr>
              <w:t xml:space="preserve">      </w:t>
            </w:r>
            <w:r>
              <w:rPr>
                <w:sz w:val="18"/>
              </w:rPr>
              <w:t>Earnings For Common</w:t>
            </w:r>
          </w:p>
          <w:p>
            <w:pPr>
              <w:pStyle w:val="SSBBodyText"/>
              <w:spacing w:before="0" w:after="180"/>
              <w:rPr>
                <w:sz w:val="18"/>
              </w:rPr>
            </w:pPr>
            <w:r>
              <w:rPr>
                <w:sz w:val="18"/>
              </w:rPr>
              <w:t xml:space="preserve"> </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386</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318</w:t>
            </w:r>
          </w:p>
        </w:tc>
        <w:tc>
          <w:tcPr>
            <w:tcW w:w="2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6"/>
              </w:rPr>
            </w:pPr>
            <w:r>
              <w:rPr>
                <w:sz w:val="16"/>
              </w:rPr>
              <w:t>21% increase</w:t>
            </w:r>
          </w:p>
        </w:tc>
      </w:tr>
      <w:tr>
        <w:trPr>
          <w:trHeight w:val="240"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Shares Outstanding</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872</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852</w:t>
            </w:r>
          </w:p>
        </w:tc>
        <w:tc>
          <w:tcPr>
            <w:tcW w:w="290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r>
      <w:tr>
        <w:trPr>
          <w:trHeight w:val="496" w:hRule="exact"/>
        </w:trPr>
        <w:tc>
          <w:tcPr>
            <w:tcW w:w="370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Diluted EPS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$0.47</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$0.40</w:t>
            </w:r>
          </w:p>
        </w:tc>
        <w:tc>
          <w:tcPr>
            <w:tcW w:w="2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Above our estimate of $0.43</w:t>
            </w:r>
          </w:p>
        </w:tc>
      </w:tr>
    </w:tbl>
    <w:p>
      <w:pPr>
        <w:pStyle w:val="SSBBodyText"/>
        <w:rPr>
          <w:sz w:val="18"/>
        </w:rPr>
      </w:pPr>
      <w:r>
        <w:rPr>
          <w:sz w:val="18"/>
        </w:rPr>
      </w:r>
    </w:p>
    <w:tbl>
      <w:tblPr>
        <w:tblW w:w="8050" w:type="dxa"/>
        <w:jc w:val="start"/>
        <w:tblInd w:w="0" w:type="dxa"/>
        <w:tblLayout w:type="fixed"/>
        <w:tblCellMar>
          <w:top w:w="0" w:type="dxa"/>
          <w:start w:w="108" w:type="dxa"/>
          <w:bottom w:w="0" w:type="dxa"/>
          <w:end w:w="108" w:type="dxa"/>
        </w:tblCellMar>
      </w:tblPr>
      <w:tblGrid>
        <w:gridCol w:w="3258"/>
        <w:gridCol w:w="720"/>
        <w:gridCol w:w="720"/>
        <w:gridCol w:w="810"/>
        <w:gridCol w:w="2542"/>
      </w:tblGrid>
      <w:tr>
        <w:trPr>
          <w:trHeight w:val="240"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KEY OPERATING Statistics: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1Q:01</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1Q:00</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 Chg</w:t>
            </w:r>
          </w:p>
        </w:tc>
        <w:tc>
          <w:tcPr>
            <w:tcW w:w="2542"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Comments:</w:t>
            </w:r>
          </w:p>
        </w:tc>
      </w:tr>
      <w:tr>
        <w:trPr>
          <w:trHeight w:val="240"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8"/>
              </w:rPr>
            </w:pPr>
            <w:r>
              <w:rPr>
                <w:b/>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8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54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r>
      <w:tr>
        <w:trPr>
          <w:trHeight w:val="240"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Wholesale Energy</w:t>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8"/>
              </w:rPr>
            </w:pPr>
            <w:r>
              <w:rPr>
                <w:b/>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8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54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r>
      <w:tr>
        <w:trPr>
          <w:trHeight w:val="505"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Total Physical Volume (billion Btue/d)</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69,029</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41,835</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65%</w:t>
            </w:r>
          </w:p>
        </w:tc>
        <w:tc>
          <w:tcPr>
            <w:tcW w:w="2542"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6"/>
              </w:rPr>
            </w:pPr>
            <w:r>
              <w:rPr>
                <w:b/>
                <w:sz w:val="16"/>
              </w:rPr>
              <w:t>EnronOnline and volatility key drivers</w:t>
            </w:r>
          </w:p>
        </w:tc>
      </w:tr>
      <w:tr>
        <w:trPr>
          <w:trHeight w:val="541"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 xml:space="preserve">Electricity      </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25,732</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12,170</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114%</w:t>
            </w:r>
          </w:p>
        </w:tc>
        <w:tc>
          <w:tcPr>
            <w:tcW w:w="254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6"/>
              </w:rPr>
            </w:pPr>
            <w:r>
              <w:rPr>
                <w:b/>
                <w:sz w:val="16"/>
              </w:rPr>
            </w:r>
          </w:p>
        </w:tc>
      </w:tr>
      <w:tr>
        <w:trPr>
          <w:trHeight w:val="775"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Natural Gas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35,955</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23,075</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56%</w:t>
            </w:r>
          </w:p>
        </w:tc>
        <w:tc>
          <w:tcPr>
            <w:tcW w:w="2542"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6"/>
              </w:rPr>
            </w:pPr>
            <w:r>
              <w:rPr>
                <w:b/>
                <w:sz w:val="16"/>
              </w:rPr>
              <w:t>Very strong results for a “mature” industry; driven by EnronOnline</w:t>
            </w:r>
          </w:p>
        </w:tc>
      </w:tr>
      <w:tr>
        <w:trPr>
          <w:trHeight w:val="240"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Other (Oil &amp; Liquids)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6,836</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6,134</w:t>
            </w:r>
          </w:p>
        </w:tc>
        <w:tc>
          <w:tcPr>
            <w:tcW w:w="8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54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6"/>
              </w:rPr>
            </w:pPr>
            <w:r>
              <w:rPr>
                <w:b/>
                <w:sz w:val="16"/>
              </w:rPr>
            </w:r>
          </w:p>
        </w:tc>
      </w:tr>
      <w:tr>
        <w:trPr>
          <w:trHeight w:val="240"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8"/>
              </w:rPr>
            </w:pPr>
            <w:r>
              <w:rPr>
                <w:b/>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8"/>
              </w:rPr>
            </w:pPr>
            <w:r>
              <w:rPr>
                <w:b/>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8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54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6"/>
              </w:rPr>
            </w:pPr>
            <w:r>
              <w:rPr>
                <w:b/>
                <w:sz w:val="16"/>
              </w:rPr>
            </w:r>
          </w:p>
        </w:tc>
      </w:tr>
      <w:tr>
        <w:trPr>
          <w:trHeight w:val="240"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Broadband Services</w:t>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8"/>
              </w:rPr>
            </w:pPr>
            <w:r>
              <w:rPr>
                <w:b/>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8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54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6"/>
              </w:rPr>
            </w:pPr>
            <w:r>
              <w:rPr>
                <w:b/>
                <w:sz w:val="16"/>
              </w:rPr>
            </w:r>
          </w:p>
        </w:tc>
      </w:tr>
      <w:tr>
        <w:trPr>
          <w:trHeight w:val="240"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sz w:val="18"/>
              </w:rPr>
              <w:t>Terabytes Delivered</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43,400</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6,005</w:t>
            </w:r>
          </w:p>
        </w:tc>
        <w:tc>
          <w:tcPr>
            <w:tcW w:w="8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542" w:type="dxa"/>
            <w:tcBorders>
              <w:top w:val="single" w:sz="4" w:space="0" w:color="000000"/>
              <w:start w:val="single" w:sz="4" w:space="0" w:color="000000"/>
              <w:bottom w:val="single" w:sz="4" w:space="0" w:color="000000"/>
              <w:end w:val="single" w:sz="4" w:space="0" w:color="000000"/>
            </w:tcBorders>
          </w:tcPr>
          <w:p>
            <w:pPr>
              <w:pStyle w:val="SSBBodyText"/>
              <w:rPr>
                <w:sz w:val="16"/>
              </w:rPr>
            </w:pPr>
            <w:r>
              <w:rPr>
                <w:sz w:val="16"/>
              </w:rPr>
              <w:t>Very strong; 580 transactions</w:t>
            </w:r>
          </w:p>
          <w:p>
            <w:pPr>
              <w:pStyle w:val="SSBBodyText"/>
              <w:spacing w:before="0" w:after="180"/>
              <w:rPr>
                <w:sz w:val="16"/>
              </w:rPr>
            </w:pPr>
            <w:r>
              <w:rPr>
                <w:sz w:val="16"/>
              </w:rPr>
            </w:r>
          </w:p>
        </w:tc>
      </w:tr>
      <w:tr>
        <w:trPr>
          <w:trHeight w:val="240"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Pooling Points (no.)</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25</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w:t>
            </w:r>
          </w:p>
        </w:tc>
        <w:tc>
          <w:tcPr>
            <w:tcW w:w="8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54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6"/>
              </w:rPr>
            </w:pPr>
            <w:r>
              <w:rPr>
                <w:sz w:val="16"/>
              </w:rPr>
            </w:r>
          </w:p>
        </w:tc>
      </w:tr>
      <w:tr>
        <w:trPr>
          <w:trHeight w:val="240"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8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54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6"/>
              </w:rPr>
            </w:pPr>
            <w:r>
              <w:rPr>
                <w:sz w:val="16"/>
              </w:rPr>
            </w:r>
          </w:p>
        </w:tc>
      </w:tr>
      <w:tr>
        <w:trPr>
          <w:trHeight w:val="240"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18"/>
              </w:rPr>
            </w:pPr>
            <w:r>
              <w:rPr>
                <w:b/>
                <w:sz w:val="18"/>
              </w:rPr>
              <w:t>Retail Energy Services</w:t>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8"/>
              </w:rPr>
            </w:pPr>
            <w:r>
              <w:rPr>
                <w:b/>
                <w:sz w:val="18"/>
              </w:rPr>
            </w:r>
          </w:p>
        </w:tc>
        <w:tc>
          <w:tcPr>
            <w:tcW w:w="72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8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54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16"/>
              </w:rPr>
            </w:pPr>
            <w:r>
              <w:rPr>
                <w:b/>
                <w:sz w:val="16"/>
              </w:rPr>
            </w:r>
          </w:p>
        </w:tc>
      </w:tr>
      <w:tr>
        <w:trPr>
          <w:trHeight w:val="271" w:hRule="exact"/>
        </w:trPr>
        <w:tc>
          <w:tcPr>
            <w:tcW w:w="325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New Contracts (billions)</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5.9</w:t>
            </w:r>
          </w:p>
        </w:tc>
        <w:tc>
          <w:tcPr>
            <w:tcW w:w="72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8"/>
              </w:rPr>
            </w:pPr>
            <w:r>
              <w:rPr>
                <w:sz w:val="18"/>
              </w:rPr>
              <w:t xml:space="preserve">   </w:t>
            </w:r>
            <w:r>
              <w:rPr>
                <w:sz w:val="18"/>
              </w:rPr>
              <w:t>3.7</w:t>
            </w:r>
          </w:p>
        </w:tc>
        <w:tc>
          <w:tcPr>
            <w:tcW w:w="81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18"/>
              </w:rPr>
            </w:pPr>
            <w:r>
              <w:rPr>
                <w:sz w:val="18"/>
              </w:rPr>
            </w:r>
          </w:p>
        </w:tc>
        <w:tc>
          <w:tcPr>
            <w:tcW w:w="2542"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16"/>
              </w:rPr>
            </w:pPr>
            <w:r>
              <w:rPr>
                <w:sz w:val="16"/>
              </w:rPr>
              <w:t>In line, $32B goal for year</w:t>
            </w:r>
          </w:p>
        </w:tc>
      </w:tr>
    </w:tbl>
    <w:p>
      <w:pPr>
        <w:pStyle w:val="SSBBodyText"/>
        <w:rPr>
          <w:b/>
        </w:rPr>
      </w:pPr>
      <w:r>
        <w:rPr>
          <w:b/>
        </w:rPr>
        <w:t>DETAILED SEGMENT COMMENTARY</w:t>
      </w:r>
    </w:p>
    <w:p>
      <w:pPr>
        <w:pStyle w:val="SSBBodyText"/>
        <w:rPr>
          <w:b/>
        </w:rPr>
      </w:pPr>
      <w:r>
        <w:rPr>
          <w:b/>
        </w:rPr>
        <w:t>WHOLESALE SERVICES (“MERCHANT ENERGY”)</w:t>
      </w:r>
    </w:p>
    <w:p>
      <w:pPr>
        <w:pStyle w:val="SSBBodyText"/>
        <w:rPr/>
      </w:pPr>
      <w:r>
        <w:rPr>
          <w:b/>
        </w:rPr>
        <w:t>Higher-than-expected volumes.</w:t>
      </w:r>
      <w:r>
        <w:rPr/>
        <w:t xml:space="preserve">  We continue to see strong results in Enron’s Wholesale Services segment.  Earnings were up 76 percent over last year, to $755 million.  Strong results were shown in both natural gas and power, in both the North American and European markets.  European especially is becoming an important contributor and will undergird volume gains in the last half of our 2001-2005 forecast period.  Total wholesale volumes were up 65% (ahead of our expectations of 40%-50%), with gas and power showing 55% and 109% increases, respectively.  This volume growth is impressive given Enron’s already dominant market share position, and appears to be due in large part to the success of EnronOnline, Enron’s industry-leading commodity trading platform.  We expect to continue to see this volume growth through the remainder of 2001.  </w:t>
      </w:r>
    </w:p>
    <w:p>
      <w:pPr>
        <w:pStyle w:val="SSBBodyText"/>
        <w:rPr/>
      </w:pPr>
      <w:r>
        <w:rPr>
          <w:b/>
        </w:rPr>
        <w:t>Unit margins remain at high level; expect unusually high volatility to sustain in 2001</w:t>
      </w:r>
      <w:r>
        <w:rPr/>
        <w:t>.  We also can trace Enron’s profitability to the unit margins seen in their trading business, which have led the industry in both absolute levels and consistency over the past several years.  We estimate that margins in 1Q:01 increased approximately 20-25%, largely as a result of the strong volatility that we have seen in the power markets (wintertime volatility remains at levels twice that seen during the same period last year).  We expect this high level of power price volatility to continue throughout 2001, due in some part to the regulatory uncertainty brought about by the California power situation.</w:t>
      </w:r>
    </w:p>
    <w:p>
      <w:pPr>
        <w:pStyle w:val="SSBBodyText"/>
        <w:rPr/>
      </w:pPr>
      <w:r>
        <w:rPr>
          <w:b/>
        </w:rPr>
        <w:t>Europe growing very rapidly; natural gas market becoming key driver.</w:t>
      </w:r>
      <w:r>
        <w:rPr/>
        <w:t xml:space="preserve">  The European wholesale energy market has grown very rapidly since electricity opened up in February 1999 and natural gas in August 2000.  We are surprised by the rapid growth of the Continental natural gas markets, which only opened up in August 2000.  Overall, European natural gas trading volumes have grown year/year by 252%, and now account for 24% of overall gas trading volumes, up from 11% last year.  Similarly, European power volumes now account for 16% of Enron’s world-wide power volumes, compared with 8% last year.  We continue to anticipate the rapid commoditization of these energy markets, which we expect to eventually rival the United States in profitability potential and sustain earnings growth at the wholesale segment in the latter half of our 2001-2005 forecast period.</w:t>
      </w:r>
    </w:p>
    <w:p>
      <w:pPr>
        <w:pStyle w:val="SSBBodyText"/>
        <w:rPr/>
      </w:pPr>
      <w:r>
        <w:rPr>
          <w:b/>
        </w:rPr>
        <w:t>Enron moves into generation, “trading” hard assets; Enron net seller based on expected eventual decline in power prices.</w:t>
      </w:r>
      <w:r>
        <w:rPr/>
        <w:t xml:space="preserve">  Enron also described their portfolio of generation sites, which nevertheless does not represent a shift from their “asset lite” strategy.  Enron now owns approximately 50 sites in various stages of development in the United States, in regional markets where they see supply/demand imbalances.  Florida, California and New England were highlighted, although Enron said that these sites were geographically diversified.  The generating facilities are also quite varied by type-- they include peaking and baseload plants, and even hydroelectric, although most are natural gas-fired.  We do not see Enron as deviating from their “asset-lite” strategy-- in fact, we see Enron as treating these sites as commodities, looking to trade in and out of their positions like they would with their positions in any other of their commodity portfolios. Importantly, on an all-in basis, Enron maintains its commodity price-neutral approach to managing all of its energy risk, including these generating developments.  However, Jeff Skilling, CEO of Enron did make it clear that Enron would likely be sellers of these positions, based on the potential that Enron sees for a significant decline in power prices over the next 1-2 years.   </w:t>
      </w:r>
    </w:p>
    <w:p>
      <w:pPr>
        <w:pStyle w:val="SSBBodyText"/>
        <w:rPr>
          <w:b/>
        </w:rPr>
      </w:pPr>
      <w:r>
        <w:rPr>
          <w:b/>
        </w:rPr>
        <w:t>BROADBAND SERVICES</w:t>
      </w:r>
    </w:p>
    <w:p>
      <w:pPr>
        <w:pStyle w:val="SSBBodyText"/>
        <w:rPr/>
      </w:pPr>
      <w:r>
        <w:rPr/>
        <w:t xml:space="preserve">Enron has two distinct and largely unrelated bandwidth businesses-- bandwidth intermediation and content delivery.  Bandwidth intermediation involves the trading and marketing of bandwidth as a commodity, in exactly the same way that Enron serves their other markets, such as power and natural gas.  Content delivery, on the other hand, involves the streaming of media over Enron’s fiber-optic network.  For the quarter, Enron reported start-up losses of $35 million, in-line with our expectations.  The next catalyst that we will look for is for Enron to outline profitability in this segment, which we feel is 1 to 3 years away.  </w:t>
      </w:r>
    </w:p>
    <w:p>
      <w:pPr>
        <w:pStyle w:val="SSBBodyText"/>
        <w:rPr/>
      </w:pPr>
      <w:r>
        <w:rPr>
          <w:b/>
        </w:rPr>
        <w:t>Carriers and network service providers becoming important counterparties in bandwidth transactions.</w:t>
      </w:r>
      <w:r>
        <w:rPr/>
        <w:t xml:space="preserve">  Enron’s bandwidth intermediation business continues to gain momentum.  Enron reported 580 transactions for 1Q:01 in this segment-- nearly twice the 320 reported for all of 2000, and slightly above their guidance given at our conference earlier this month.  Another metric, terabytes delivered, grew 622% over the prior year’s quarter, to 43,400 from 6,005 (see the table below for the sequential growth in volumes traded).  We see this increase in activity as validating the establishment of a commodity market for bandwidth.  Dispelling the myth bandwidth “trading” only represents transactions between energy companies, Enron also announced that 70 carriers and network service providers are among their 120 unique counterparties, and that those parties account for 50% of all transactions.  This demonstrated the growing acceptance of the role that intermediation services plays as a risk management tool for owners of capacity, much as it has in other markets, such as natural gas and electricity.</w:t>
      </w:r>
    </w:p>
    <w:p>
      <w:pPr>
        <w:pStyle w:val="SSBBodyText"/>
        <w:rPr/>
      </w:pPr>
      <w:r>
        <w:rPr/>
        <w:t>BANDWIDTH TRADING--KEY METRICS SHOW SIGNIFICANT UPWARD RAMP</w:t>
      </w:r>
    </w:p>
    <w:tbl>
      <w:tblPr>
        <w:tblW w:w="6498" w:type="dxa"/>
        <w:jc w:val="start"/>
        <w:tblInd w:w="0" w:type="dxa"/>
        <w:tblLayout w:type="fixed"/>
        <w:tblCellMar>
          <w:top w:w="0" w:type="dxa"/>
          <w:start w:w="108" w:type="dxa"/>
          <w:bottom w:w="0" w:type="dxa"/>
          <w:end w:w="108" w:type="dxa"/>
        </w:tblCellMar>
      </w:tblPr>
      <w:tblGrid>
        <w:gridCol w:w="2358"/>
        <w:gridCol w:w="810"/>
        <w:gridCol w:w="810"/>
        <w:gridCol w:w="810"/>
        <w:gridCol w:w="810"/>
        <w:gridCol w:w="900"/>
      </w:tblGrid>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20"/>
              </w:rPr>
            </w:pPr>
            <w:r>
              <w:rPr>
                <w:b/>
                <w:sz w:val="20"/>
              </w:rPr>
              <w:t>Operating Metric</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20"/>
              </w:rPr>
            </w:pPr>
            <w:r>
              <w:rPr>
                <w:b/>
                <w:sz w:val="20"/>
              </w:rPr>
              <w:t>1Q:99</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20"/>
              </w:rPr>
            </w:pPr>
            <w:r>
              <w:rPr>
                <w:b/>
                <w:sz w:val="20"/>
              </w:rPr>
              <w:t>2Q:99</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20"/>
              </w:rPr>
            </w:pPr>
            <w:r>
              <w:rPr>
                <w:b/>
                <w:sz w:val="20"/>
              </w:rPr>
              <w:t>3Q:99</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20"/>
              </w:rPr>
            </w:pPr>
            <w:r>
              <w:rPr>
                <w:b/>
                <w:sz w:val="20"/>
              </w:rPr>
              <w:t>4Q:99</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sz w:val="20"/>
              </w:rPr>
            </w:pPr>
            <w:r>
              <w:rPr>
                <w:b/>
                <w:sz w:val="20"/>
              </w:rPr>
              <w:t>1Q:00</w:t>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Transactions</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 xml:space="preserve">       </w:t>
            </w:r>
            <w:r>
              <w:rPr>
                <w:sz w:val="20"/>
              </w:rPr>
              <w:t>3</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 xml:space="preserve">       </w:t>
            </w:r>
            <w:r>
              <w:rPr>
                <w:sz w:val="20"/>
              </w:rPr>
              <w:t>23</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 xml:space="preserve">      </w:t>
            </w:r>
            <w:r>
              <w:rPr>
                <w:sz w:val="20"/>
              </w:rPr>
              <w:t>59</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 xml:space="preserve">     </w:t>
            </w:r>
            <w:r>
              <w:rPr>
                <w:sz w:val="20"/>
              </w:rPr>
              <w:t>236</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 xml:space="preserve">     </w:t>
            </w:r>
            <w:r>
              <w:rPr>
                <w:sz w:val="20"/>
              </w:rPr>
              <w:t>580</w:t>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IBIT ($, mil.)</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 xml:space="preserve">      </w:t>
            </w:r>
            <w:r>
              <w:rPr>
                <w:sz w:val="20"/>
              </w:rPr>
              <w:t>(8)</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 xml:space="preserve">    </w:t>
            </w:r>
            <w:r>
              <w:rPr>
                <w:sz w:val="20"/>
              </w:rPr>
              <w:t>(20)</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 xml:space="preserve">    </w:t>
            </w:r>
            <w:r>
              <w:rPr>
                <w:sz w:val="20"/>
              </w:rPr>
              <w:t>(32)</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 xml:space="preserve">     </w:t>
            </w:r>
            <w:r>
              <w:rPr>
                <w:sz w:val="20"/>
              </w:rPr>
              <w:t>(35)</w:t>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Terabytes Delivered</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6,005</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13,692</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19,446</w:t>
            </w:r>
          </w:p>
        </w:tc>
        <w:tc>
          <w:tcPr>
            <w:tcW w:w="81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33,263</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rPr>
                <w:sz w:val="20"/>
              </w:rPr>
            </w:pPr>
            <w:r>
              <w:rPr>
                <w:sz w:val="20"/>
              </w:rPr>
              <w:t>72,406</w:t>
            </w:r>
          </w:p>
        </w:tc>
      </w:tr>
    </w:tbl>
    <w:p>
      <w:pPr>
        <w:pStyle w:val="SSBBodyText"/>
        <w:rPr/>
      </w:pPr>
      <w:r>
        <w:rPr/>
        <w:t>The company stated that the short-term transactions account for the majority of their activity, while expressing disappointment with the growth of a market for structured transactions.  We are not concerned, understanding that significant counterparty credit concerns exist in today’s telecommunications markets.  We continue to be encouraged by Enron’s track record of growing liquidity.</w:t>
      </w:r>
    </w:p>
    <w:p>
      <w:pPr>
        <w:pStyle w:val="SSBBodyText"/>
        <w:rPr/>
      </w:pPr>
      <w:r>
        <w:rPr/>
        <w:t xml:space="preserve">The other side of Broadband Services is content delivery, which we distinguish as a separate and largely unrelated business and not core to their overall “merchant-centric” operations.  Despite the fact that Enron has continued to emphasize the important role that content delivery plays in their strategy, our outlook for their overall broadband effort would not be impaired if this business unit ultimately did not prove successful. </w:t>
      </w:r>
    </w:p>
    <w:p>
      <w:pPr>
        <w:pStyle w:val="SSBBodyText"/>
        <w:rPr>
          <w:b/>
        </w:rPr>
      </w:pPr>
      <w:r>
        <w:rPr>
          <w:b/>
        </w:rPr>
        <w:t>RETAIL ENERGY SERVICES--IN LINE</w:t>
      </w:r>
    </w:p>
    <w:p>
      <w:pPr>
        <w:pStyle w:val="SSBBodyText"/>
        <w:rPr/>
      </w:pPr>
      <w:r>
        <w:rPr/>
        <w:t>Enron Energy Services, Enron’s retail energy services IBIT increased to $40 million in 1Q:01 (in-line with our expectations) vs. $32 million in 4Q:00 and $6 million in the year ago quarter.  Enron appears on track to achieve profitability of $200-$250 million in 2001, up from $103 million in 2000 and a ($68) million start-up loss in 1999.  Among all of the Energy Merchants, Enron remains the only national retail service provider.  We expect this segment, given its relatively front-end-loaded fixed costs and small national penetration to grow rapidly, and be a strong source of visible earnings growth during the last half of our 2001-2005 period.</w:t>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SSBBodyHeading"/>
        <w:rPr/>
      </w:pPr>
      <w:bookmarkStart w:id="3" w:name="SSB_ReusableText"/>
      <w:bookmarkStart w:id="4" w:name="SSB_Insert"/>
      <w:bookmarkEnd w:id="3"/>
      <w:bookmarkEnd w:id="4"/>
      <w:r>
        <w:rPr/>
        <w:t>Investment Thesis</w:t>
      </w:r>
    </w:p>
    <w:p>
      <w:pPr>
        <w:pStyle w:val="SSBBodyText"/>
        <w:rPr/>
      </w:pPr>
      <w:bookmarkStart w:id="5" w:name="TRC_THESIS"/>
      <w:r>
        <w:rPr/>
        <w:fldChar w:fldCharType="begin"/>
      </w:r>
      <w:r>
        <w:rPr/>
        <w:instrText xml:space="preserve"> DOCVARIABLE trc_Thesis </w:instrText>
      </w:r>
      <w:r>
        <w:rPr/>
        <w:fldChar w:fldCharType="separate"/>
      </w:r>
      <w:r>
        <w:rPr/>
        <w:t>We rate ENE 1H (Buy, High Risk), and place a 12-18 month price target of $100.  Our price target reflects $60 in implied value for Enron's energy merchant platform and $40 for bandwidth trading and other extensions of their risk merchant franchise (within 5 years, we see the value of bandwidth trading exceeding the entire value of energy marketing).  Further enhancing ENE's valuation is the continuing transformation of ENE into a company relying on 'intellectual capital' vs. physical capital.  ENE is the leading wholesale energy supplier of natural gas, electricity, coal, and other commodities in the United States, and increasingly around the world.  We view ENE as a core holding in the Power and Natural Gas industry.</w:t>
      </w:r>
      <w:r>
        <w:rPr/>
        <w:fldChar w:fldCharType="end"/>
      </w:r>
      <w:bookmarkEnd w:id="5"/>
    </w:p>
    <w:p>
      <w:pPr>
        <w:pStyle w:val="SSBBodyHeading"/>
        <w:rPr/>
      </w:pPr>
      <w:r>
        <w:rPr/>
        <w:t>Company Description</w:t>
      </w:r>
    </w:p>
    <w:p>
      <w:pPr>
        <w:pStyle w:val="SSBBodyText"/>
        <w:rPr/>
      </w:pPr>
      <w:bookmarkStart w:id="6" w:name="TRC_DESCRIPTION"/>
      <w:r>
        <w:rPr/>
        <w:fldChar w:fldCharType="begin"/>
      </w:r>
      <w:r>
        <w:rPr/>
        <w:instrText xml:space="preserve"> DOCVARIABLE trc_Description </w:instrText>
      </w:r>
      <w:r>
        <w:rPr/>
        <w:fldChar w:fldCharType="separate"/>
      </w:r>
      <w:r>
        <w:rPr/>
        <w:t>Enron is the leading Risk Merchant.  Traditionally considered a natural gas pipeline company, Enron's core business is now the management of price risk in fast-growing and deregulating commodity markets.  The Risk Merchant franchise accounts for 75% of operating income, and is growing at a 30%-40% annual rate.  Enron grows by expanding this business model into new geographies and commodities.  Market shares: No. 1 in relatively mature $80 billion U.S. natural gas market; No. 1 in $235 billion U.S. electricity market, opened in 1996 and rapidly growing. Enron also has first mover advantage in the $270 billion European market, opened in February 1999, where it is already profitable and has seen volumes grow ten-fold.  We expect Enron will solidify its position by using the Internet; EnronOnline already drives over half of total commodity volumes.  Finally, we expect Enron to successfully develop the bandwidth commodity market, where it already has first mover advantage.</w:t>
      </w:r>
      <w:r>
        <w:rPr/>
        <w:fldChar w:fldCharType="end"/>
      </w:r>
      <w:bookmarkEnd w:id="6"/>
    </w:p>
    <w:p>
      <w:pPr>
        <w:pStyle w:val="Normal"/>
        <w:rPr/>
      </w:pPr>
      <w:r>
        <w:rPr/>
      </w:r>
      <w:bookmarkStart w:id="7" w:name="SSB_ReusableText"/>
      <w:bookmarkStart w:id="8" w:name="SSB_ReusableText"/>
      <w:bookmarkEnd w:id="8"/>
    </w:p>
    <w:p>
      <w:pPr>
        <w:pStyle w:val="SSBDisclaimerFirstCall"/>
        <w:rPr/>
      </w:pPr>
      <w:r>
        <w:rPr/>
        <w:t>ADDITIONAL INFORMATION AVAILABLE UPON REQUEST</w:t>
      </w:r>
    </w:p>
    <w:p>
      <w:pPr>
        <w:pStyle w:val="SSBDisclaimerFirstCall"/>
        <w:rPr>
          <w:lang w:eastAsia="en-CA"/>
        </w:rPr>
      </w:pPr>
      <w:r>
        <w:fldChar w:fldCharType="begin">
          <w:ffData>
            <w:name w:val="trc_Hedge_A"/>
            <w:enabled/>
            <w:calcOnExit w:val="0"/>
            <w:textInput/>
          </w:ffData>
        </w:fldChar>
      </w:r>
      <w:r>
        <w:rPr>
          <w:lang w:eastAsia="en-CA"/>
        </w:rPr>
        <w:instrText xml:space="preserve"> FORMTEXT </w:instrText>
      </w:r>
      <w:r>
        <w:rPr>
          <w:lang w:eastAsia="en-CA"/>
        </w:rPr>
      </w:r>
      <w:r>
        <w:rPr>
          <w:lang w:eastAsia="en-CA"/>
        </w:rPr>
        <w:fldChar w:fldCharType="separate"/>
      </w:r>
      <w:r>
        <w:t># Within the past three years, Salomon Smith Barney, including its parent, subsidiaries and/or affiliates, has acted as manager or co-manager of a public offering of the securities of this company.</w:t>
      </w:r>
      <w:r>
        <w:rPr>
          <w:lang w:eastAsia="en-CA"/>
        </w:rPr>
      </w:r>
    </w:p>
    <w:p>
      <w:pPr>
        <w:pStyle w:val="SSBDisclaimerFirstCall"/>
        <w:rPr/>
      </w:pPr>
      <w:r>
        <w:rPr>
          <w:lang w:eastAsia="en-CA"/>
        </w:rPr>
      </w:r>
      <w:r>
        <w:rPr>
          <w:lang w:eastAsia="en-CA"/>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lang w:eastAsia="en-CA"/>
        </w:rPr>
      </w:pPr>
      <w:r>
        <w:fldChar w:fldCharType="begin">
          <w:ffData>
            <w:name w:val="TRC_HEDGE"/>
            <w:enabled/>
            <w:calcOnExit w:val="0"/>
            <w:textInput/>
          </w:ffData>
        </w:fldChar>
      </w:r>
      <w:r>
        <w:rPr>
          <w:lang w:eastAsia="en-CA"/>
        </w:rPr>
        <w:instrText xml:space="preserve"> FORMTEXT </w:instrText>
      </w:r>
      <w:r>
        <w:rPr>
          <w:lang w:eastAsia="en-CA"/>
        </w:rPr>
      </w:r>
      <w:r>
        <w:rPr>
          <w:lang w:eastAsia="en-CA"/>
        </w:rPr>
        <w:fldChar w:fldCharType="separate"/>
      </w:r>
      <w:r>
        <w:t># Within the past three years, Salomon Smith Barney, including its parent, subsidiaries and/or affiliates, has acted as manager or co-manager of a public offering of the securities of this company.</w:t>
      </w:r>
      <w:r>
        <w:rPr>
          <w:lang w:eastAsia="en-CA"/>
        </w:rPr>
      </w:r>
    </w:p>
    <w:p>
      <w:pPr>
        <w:pStyle w:val="SSBDisclaimer"/>
        <w:rPr>
          <w:sz w:val="14"/>
        </w:rPr>
      </w:pPr>
      <w:r>
        <w:rPr>
          <w:lang w:eastAsia="en-CA"/>
        </w:rPr>
      </w:r>
      <w:r>
        <w:rPr>
          <w:lang w:eastAsia="en-CA"/>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The research opinions herein may differ from those of The Robinson-Humphrey Company, LLC, a wholly owned subsidiary of SSB.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ctualMoQD" w:val="Mar 2001"/>
    <w:docVar w:name="trc_AnalystEmail1" w:val="ray.niles@ssmb.com"/>
    <w:docVar w:name="trc_AnalystEmail2" w:val="NULL"/>
    <w:docVar w:name="trc_AnalystEmail3" w:val="NULL"/>
    <w:docVar w:name="trc_AnalystID" w:val="rn95785"/>
    <w:docVar w:name="trc_AnalystID_Sec1" w:val="bm58212"/>
    <w:docVar w:name="trc_AnalystID_Sec2" w:val="NULL"/>
    <w:docVar w:name="trc_AnalystName1" w:val="Raymond Niles"/>
    <w:docVar w:name="trc_AnalystName2" w:val="Benjamin Morton"/>
    <w:docVar w:name="trc_AnalystName3" w:val="NULL"/>
    <w:docVar w:name="trc_AnalystPhone1" w:val="212-816-2807"/>
    <w:docVar w:name="trc_AnalystPhone2" w:val="212-816-2086"/>
    <w:docVar w:name="trc_AnalystPhone3" w:val="NULL"/>
    <w:docVar w:name="trc_blastvm" w:val="True"/>
    <w:docVar w:name="trc_CalYear1" w:val="NULL"/>
    <w:docVar w:name="trc_CalYear2" w:val="NULL"/>
    <w:docVar w:name="trc_CalYear3" w:val="NULL"/>
    <w:docVar w:name="trc_CalYear4" w:val="NULL"/>
    <w:docVar w:name="trc_comments" w:val="Possible reference -- detailed commentary following conference call; earnings segment discussion and table"/>
    <w:docVar w:name="trc_companyname" w:val="Enron Corporation"/>
    <w:docVar w:name="trc_CONVERTIBLE" w:val="No"/>
    <w:docVar w:name="trc_CurFY" w:val="2001"/>
    <w:docVar w:name="trc_CurrentPrice" w:val="59.44"/>
    <w:docVar w:name="trc_CurrentPrice_P" w:val="59.44"/>
    <w:docVar w:name="trc_DateOfSubmission" w:val="04/17/2001 8:28:36 PM"/>
    <w:docVar w:name="trc_Description" w:val="Enron is the leading Risk Merchant.  Traditionally considered a natural gas pipeline company, Enron's core business is now the management of price risk in fast-growing and deregulating commodity markets.  The Risk Merchant franchise accounts for 75% of operating income, and is growing at a 30%-40% annual rate.  Enron grows by expanding this business model into new geographies and commodities.  Market shares: No. 1 in relatively mature $80 billion U.S. natural gas market; No. 1 in $235 billion U.S. electricity market, opened in 1996 and rapidly growing. Enron also has first mover advantage in the $270 billion European market, opened in February 1999, where it is already profitable and has seen volumes grow ten-fold.  We expect Enron will solidify its position by using the Internet; EnronOnline already drives over half of total commodity volumes.  Finally, we expect Enron to successfully develop the bandwidth commodity market, where it already has first mover advantage."/>
    <w:docVar w:name="trc_DOC_NOTE_ProtectDate" w:val="04/17/2001 6:29:43 PM"/>
    <w:docVar w:name="trc_DocID" w:val="38760"/>
    <w:docVar w:name="trc_DocumentType" w:val="2"/>
    <w:docVar w:name="trc_EPSGR" w:val="0.2"/>
    <w:docVar w:name="trc_EPSGR_P" w:val="0.2"/>
    <w:docVar w:name="trc_FDYear2" w:val="12/01E"/>
    <w:docVar w:name="trc_FDYear3" w:val="12/02E"/>
    <w:docVar w:name="trc_FromWorkFlow" w:val="False"/>
    <w:docVar w:name="trc_FT12" w:val="NULL"/>
    <w:docVar w:name="trc_FT13" w:val="NULL"/>
    <w:docVar w:name="trc_FT14" w:val="NULL"/>
    <w:docVar w:name="trc_FT22" w:val="NULL"/>
    <w:docVar w:name="trc_FT22_p" w:val="NULL"/>
    <w:docVar w:name="trc_FT23" w:val="NULL"/>
    <w:docVar w:name="trc_FT23_p" w:val="NULL"/>
    <w:docVar w:name="trc_FT24" w:val="NULL"/>
    <w:docVar w:name="trc_FT24_p" w:val="NULL"/>
    <w:docVar w:name="trc_FT32" w:val="NULL"/>
    <w:docVar w:name="trc_FT32_p" w:val="NULL"/>
    <w:docVar w:name="trc_FT33" w:val="NULL"/>
    <w:docVar w:name="trc_FT33_p" w:val="NULL"/>
    <w:docVar w:name="trc_FT34" w:val="NULL"/>
    <w:docVar w:name="trc_FT34_p" w:val="NULL"/>
    <w:docVar w:name="trc_FT42" w:val="NULL"/>
    <w:docVar w:name="trc_FT42_p" w:val="NULL"/>
    <w:docVar w:name="trc_FT43" w:val="NULL"/>
    <w:docVar w:name="trc_FT43_p" w:val="NULL"/>
    <w:docVar w:name="trc_FT44" w:val="NULL"/>
    <w:docVar w:name="trc_FT44_p" w:val="NULL"/>
    <w:docVar w:name="trc_FtNote1" w:val="Consensus EPS"/>
    <w:docVar w:name="trc_FtNote1_Text" w:val="First Call Consensus EPS"/>
    <w:docVar w:name="trc_FtNote2" w:val="NULL"/>
    <w:docVar w:name="trc_FtNote3" w:val="NULL"/>
    <w:docVar w:name="trc_FtNote4" w:val="NULL"/>
    <w:docVar w:name="trc_FYEnd" w:val="Dec"/>
    <w:docVar w:name="trc_FYEnd_p" w:val="Dec"/>
    <w:docVar w:name="trc_FYEndMonthIndex" w:val="12"/>
    <w:docVar w:name="trc_headline" w:val="ENE: Detailed 1Q Earnings Analysis following Conf. Call; Reiterate 1H Rating"/>
    <w:docVar w:name="trc_headline_display" w:val="Detailed 1Q Earnings Analysis following Conf. Call; Reiterate 1H Rating"/>
    <w:docVar w:name="trc_Hedge" w:val="# Within the past three years, Salomon Smith Barney, including its parent, subsidiaries and/or affiliates, has acted as manager or co-manager of a public offering of the securities of this company.&#10;"/>
    <w:docVar w:name="trc_IB_Relation" w:val="#"/>
    <w:docVar w:name="trc_indexgroup" w:val="ENE is in the S&amp;P 500® Index."/>
    <w:docVar w:name="trc_industry" w:val="Power &amp; Natural Gas"/>
    <w:docVar w:name="trc_industry_Sub" w:val="NULL"/>
    <w:docVar w:name="trc_IndustryID" w:val="121130"/>
    <w:docVar w:name="trc_IsDescription" w:val="True"/>
    <w:docVar w:name="trc_IsDropCoverage" w:val="False"/>
    <w:docVar w:name="trc_IsEstimateChange" w:val="False"/>
    <w:docVar w:name="trc_IsNewCoverage" w:val="False"/>
    <w:docVar w:name="trc_IsRatingChange" w:val="False"/>
    <w:docVar w:name="trc_IsTargetChange" w:val="False"/>
    <w:docVar w:name="trc_IsThesis" w:val="True"/>
    <w:docVar w:name="trc_LastActualQuarte" w:val="Q1"/>
    <w:docVar w:name="trc_ltepsgrowth" w:val="NULL"/>
    <w:docVar w:name="trc_MCDate" w:val="04/18/2001 8:00:00 AM"/>
    <w:docVar w:name="trc_MKTCAP" w:val="43070.2"/>
    <w:docVar w:name="trc_MktCap_U" w:val="mil."/>
    <w:docVar w:name="trc_morningcall" w:val="True"/>
    <w:docVar w:name="trc_OPTIONS" w:val="NULL"/>
    <w:docVar w:name="trc_Other51" w:val="NULL"/>
    <w:docVar w:name="trc_Other52" w:val="NULL"/>
    <w:docVar w:name="trc_Other53" w:val="NULL"/>
    <w:docVar w:name="trc_Other54" w:val="NULL"/>
    <w:docVar w:name="trc_OtherCompanies" w:val="NULL"/>
    <w:docVar w:name="trc_OtherIndustryIDs" w:val="NULL"/>
    <w:docVar w:name="trc_Pages" w:val="5"/>
    <w:docVar w:name="trc_PRICEDATE" w:val="04/16/2001"/>
    <w:docVar w:name="trc_priority" w:val="2"/>
    <w:docVar w:name="trc_pub_subtype" w:val="1"/>
    <w:docVar w:name="trc_publicationtype" w:val="Generic Company Note"/>
    <w:docVar w:name="trc_QDType" w:val="EPS"/>
    <w:docVar w:name="trc_QDYear1" w:val="12/00A"/>
    <w:docVar w:name="trc_QDYear2" w:val="12/01E"/>
    <w:docVar w:name="trc_QDYear3" w:val="12/02E"/>
    <w:docVar w:name="trc_QDYear4" w:val="12/03E"/>
    <w:docVar w:name="trc_RATING" w:val="1"/>
    <w:docVar w:name="trc_RATING_P" w:val="1"/>
    <w:docVar w:name="trc_RATINGDATE" w:val="11/19/1999 6:29:05 PM"/>
    <w:docVar w:name="trc_RATINGDESC" w:val="Buy"/>
    <w:docVar w:name="trc_RatingID" w:val="1"/>
    <w:docVar w:name="trc_releasedate" w:val="04/17/2001"/>
    <w:docVar w:name="trc_Risk" w:val="H"/>
    <w:docVar w:name="trc_Risk_P" w:val="H"/>
    <w:docVar w:name="trc_RISKDESC" w:val="High Risk"/>
    <w:docVar w:name="trc_RiskID" w:val="13"/>
    <w:docVar w:name="trc_SecurityID" w:val="NULL"/>
    <w:docVar w:name="trc_SharesOut" w:val="724.6"/>
    <w:docVar w:name="trc_SharesOut_U" w:val="mil."/>
    <w:docVar w:name="trc_StatusMark" w:val="NONE"/>
    <w:docVar w:name="trc_SubjectIDs" w:val="SEO,COM"/>
    <w:docVar w:name="trc_submitter" w:val="rn95785"/>
    <w:docVar w:name="trc_submittername" w:val="Raymond Niles"/>
    <w:docVar w:name="trc_submitterphone" w:val="212-816-2807"/>
    <w:docVar w:name="trc_target" w:val="100.00"/>
    <w:docVar w:name="trc_target_P" w:val="100.00"/>
    <w:docVar w:name="trc_TemplateID" w:val="2"/>
    <w:docVar w:name="trc_TEV" w:val="NULL"/>
    <w:docVar w:name="trc_TEV_u" w:val="mil."/>
    <w:docVar w:name="trc_Thesis" w:val="We rate ENE 1H (Buy, High Risk), and place a 12-18 month price target of $100.  Our price target reflects $60 in implied value for Enron's energy merchant platform and $40 for bandwidth trading and other extensions of their risk merchant franchise (within 5 years, we see the value of bandwidth trading exceeding the entire value of energy marketing).  Further enhancing ENE's valuation is the continuing transformation of ENE into a company relying on 'intellectual capital' vs. physical capital.  ENE is the leading wholesale energy supplier of natural gas, electricity, coal, and other commodities in the United States, and increasingly around the world.  We view ENE as a core holding in the Power and Natural Gas industry."/>
    <w:docVar w:name="trc_ticker" w:val="ENE"/>
    <w:docVar w:name="trc_Ticker_P" w:val="ENE:"/>
    <w:docVar w:name="trc_Version" w:val="1"/>
    <w:docVar w:name="trc_WkRng52Hi" w:val="90.00"/>
    <w:docVar w:name="trc_WkRng52Low" w:val="53.50"/>
    <w:docVar w:name="trc_y1" w:val="2000"/>
    <w:docVar w:name="trc_Y1CONSEPS" w:val="1.42"/>
    <w:docVar w:name="trc_y1q1" w:val="0.40"/>
    <w:docVar w:name="trc_y1q1AE" w:val="A"/>
    <w:docVar w:name="trc_y1q2" w:val="0.34"/>
    <w:docVar w:name="trc_y1q2AE" w:val="A"/>
    <w:docVar w:name="trc_y1q3" w:val="0.34"/>
    <w:docVar w:name="trc_y1q3AE" w:val="A"/>
    <w:docVar w:name="trc_y1q4" w:val="0.41"/>
    <w:docVar w:name="trc_y1q4AE" w:val="A"/>
    <w:docVar w:name="trc_y1Total" w:val="1.47"/>
    <w:docVar w:name="trc_y1TotalAE" w:val="A"/>
    <w:docVar w:name="trc_y2" w:val="2001"/>
    <w:docVar w:name="trc_Y2BVPS" w:val="NULL"/>
    <w:docVar w:name="trc_y2CommonEQ" w:val="NULL"/>
    <w:docVar w:name="trc_y2CommonEQ_U" w:val="mil."/>
    <w:docVar w:name="trc_Y2CONSEPS" w:val="1.75"/>
    <w:docVar w:name="trc_Y2CONSEPS_p" w:val="1.75"/>
    <w:docVar w:name="trc_Y2DIVYIELD" w:val="0.009"/>
    <w:docVar w:name="trc_y2DPS" w:val="0.54"/>
    <w:docVar w:name="trc_y2EBITDA" w:val="4167.0"/>
    <w:docVar w:name="trc_y2EBITDA_u" w:val="mil."/>
    <w:docVar w:name="trc_Y2EVTOEBITDA" w:val="NULL"/>
    <w:docVar w:name="trc_Y2LTDCAP" w:val="NULL"/>
    <w:docVar w:name="trc_y2LTDEBT" w:val="9754.1"/>
    <w:docVar w:name="trc_y2LTDEBT_U" w:val="mil."/>
    <w:docVar w:name="trc_Y2PE" w:val="33.0"/>
    <w:docVar w:name="trc_Y2PRICETOBOOK" w:val="NULL"/>
    <w:docVar w:name="trc_y2q1" w:val="0.47"/>
    <w:docVar w:name="trc_y2q1_P" w:val="0.47"/>
    <w:docVar w:name="trc_Y2Q1ae" w:val="A"/>
    <w:docVar w:name="trc_y2q1AE_p" w:val="A"/>
    <w:docVar w:name="trc_y2q2" w:val="NULL"/>
    <w:docVar w:name="trc_y2q2_P" w:val="NULL"/>
    <w:docVar w:name="trc_Y2Q2ae" w:val="E"/>
    <w:docVar w:name="trc_y2q2AE_p" w:val="E"/>
    <w:docVar w:name="trc_y2q3" w:val="NULL"/>
    <w:docVar w:name="trc_y2q3_P" w:val="NULL"/>
    <w:docVar w:name="trc_Y2Q3ae" w:val="E"/>
    <w:docVar w:name="trc_y2q3AE_p" w:val="E"/>
    <w:docVar w:name="trc_y2q4" w:val="NULL"/>
    <w:docVar w:name="trc_y2q4_P" w:val="NULL"/>
    <w:docVar w:name="trc_Y2Q4ae" w:val="E"/>
    <w:docVar w:name="trc_y2q4AE_p" w:val="E"/>
    <w:docVar w:name="trc_y2REVENUE" w:val="75748.2"/>
    <w:docVar w:name="trc_y2REVENUE_U" w:val="mil."/>
    <w:docVar w:name="trc_y2ROE" w:val="0.115"/>
    <w:docVar w:name="trc_y2Total" w:val="1.80"/>
    <w:docVar w:name="trc_y2Total_p" w:val="1.80"/>
    <w:docVar w:name="trc_Y2Totalae" w:val="E"/>
    <w:docVar w:name="trc_y2TotalAE_p" w:val="E"/>
    <w:docVar w:name="trc_y3" w:val="2002"/>
    <w:docVar w:name="trc_Y3CONSEPS" w:val="1.98"/>
    <w:docVar w:name="trc_Y3CONSEPS_p" w:val="1.98"/>
    <w:docVar w:name="trc_y3EBITDA" w:val="NULL"/>
    <w:docVar w:name="trc_y3EBITDA_U" w:val="mil."/>
    <w:docVar w:name="trc_Y3EVTOEBITDA" w:val="NULL"/>
    <w:docVar w:name="trc_Y3PE" w:val="29.0"/>
    <w:docVar w:name="trc_y3q1" w:val="NULL"/>
    <w:docVar w:name="trc_y3q1_P" w:val="NULL"/>
    <w:docVar w:name="trc_y3q1AE" w:val="E"/>
    <w:docVar w:name="trc_y3q1AE_p" w:val="E"/>
    <w:docVar w:name="trc_y3q2" w:val="NULL"/>
    <w:docVar w:name="trc_y3q2_P" w:val="NULL"/>
    <w:docVar w:name="trc_y3q2AE" w:val="E"/>
    <w:docVar w:name="trc_y3q2AE_p" w:val="E"/>
    <w:docVar w:name="trc_y3q3" w:val="NULL"/>
    <w:docVar w:name="trc_y3q3_P" w:val="NULL"/>
    <w:docVar w:name="trc_y3q3AE" w:val="E"/>
    <w:docVar w:name="trc_y3q3AE_p" w:val="E"/>
    <w:docVar w:name="trc_y3q4" w:val="NULL"/>
    <w:docVar w:name="trc_y3q4_P" w:val="NULL"/>
    <w:docVar w:name="trc_y3q4AE" w:val="E"/>
    <w:docVar w:name="trc_y3q4AE_p" w:val="E"/>
    <w:docVar w:name="trc_y3Total" w:val="2.05"/>
    <w:docVar w:name="trc_y3Total_p" w:val="2.05"/>
    <w:docVar w:name="trc_y3TotalAE" w:val="E"/>
    <w:docVar w:name="trc_y3TotalAE_p" w:val="E"/>
    <w:docVar w:name="trc_y4" w:val="2003"/>
    <w:docVar w:name="trc_Y4CONSEPS" w:val="NULL"/>
    <w:docVar w:name="trc_Y4CONSEPS_p" w:val="NULL"/>
    <w:docVar w:name="trc_y4q1" w:val="NULL"/>
    <w:docVar w:name="trc_y4q1_p" w:val="NULL"/>
    <w:docVar w:name="trc_y4q1AE" w:val="E"/>
    <w:docVar w:name="trc_y4q1AE_p" w:val="E"/>
    <w:docVar w:name="trc_y4q2" w:val="NULL"/>
    <w:docVar w:name="trc_y4q2_p" w:val="NULL"/>
    <w:docVar w:name="trc_y4q2AE" w:val="E"/>
    <w:docVar w:name="trc_y4q2AE_p" w:val="E"/>
    <w:docVar w:name="trc_y4q3" w:val="NULL"/>
    <w:docVar w:name="trc_y4q3_p" w:val="NULL"/>
    <w:docVar w:name="trc_y4q3AE" w:val="E"/>
    <w:docVar w:name="trc_y4q3AE_p" w:val="E"/>
    <w:docVar w:name="trc_y4q4" w:val="NULL"/>
    <w:docVar w:name="trc_y4q4_p" w:val="NULL"/>
    <w:docVar w:name="trc_y4q4AE" w:val="E"/>
    <w:docVar w:name="trc_y4q4AE_p" w:val="E"/>
    <w:docVar w:name="trc_y4Total" w:val="NULL"/>
    <w:docVar w:name="trc_y4Total_p" w:val="NULL"/>
    <w:docVar w:name="trc_y4TotalAE" w:val="E"/>
    <w:docVar w:name="trc_y4TotalAE_p" w:val="E"/>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2001-04-18T00:56:00Z</dcterms:created>
  <dc:creator>Benjamin Morton</dc:creator>
  <dc:description/>
  <dc:language>en-CA</dc:language>
  <cp:lastModifiedBy>Robert F Gumina</cp:lastModifiedBy>
  <cp:lastPrinted>2001-04-17T20:08:00Z</cp:lastPrinted>
  <dcterms:modified xsi:type="dcterms:W3CDTF">2001-04-17T22:59:00Z</dcterms:modified>
  <cp:revision>7</cp:revision>
  <dc:subject/>
  <dc:title>ENE_20010417_1</dc:title>
</cp:coreProperties>
</file>