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KEVIN HOWARD</w:t>
      </w:r>
    </w:p>
    <w:p>
      <w:pPr>
        <w:pStyle w:val="Normal"/>
        <w:jc w:val="center"/>
        <w:rPr>
          <w:b/>
        </w:rPr>
      </w:pPr>
      <w:r>
        <w:rPr>
          <w:b/>
        </w:rPr>
        <w:t>VICE PRESIDENT,  GLOBAL FINANCE</w:t>
      </w:r>
    </w:p>
    <w:p>
      <w:pPr>
        <w:pStyle w:val="Normal"/>
        <w:jc w:val="center"/>
        <w:rPr>
          <w:b/>
        </w:rPr>
      </w:pPr>
      <w:r>
        <w:rPr>
          <w:b/>
        </w:rPr>
        <w:t>SUMMARY OF ENRON WORK EXPERIENCE</w:t>
      </w:r>
    </w:p>
    <w:p>
      <w:pPr>
        <w:pStyle w:val="Normal"/>
        <w:rPr>
          <w:b/>
        </w:rPr>
      </w:pPr>
      <w:r>
        <w:rPr>
          <w:b/>
        </w:rPr>
      </w:r>
    </w:p>
    <w:p>
      <w:pPr>
        <w:pStyle w:val="Normal"/>
        <w:rPr>
          <w:b/>
        </w:rPr>
      </w:pPr>
      <w:r>
        <w:rPr>
          <w:b/>
        </w:rPr>
        <w:t>HISTORY:</w:t>
      </w:r>
    </w:p>
    <w:p>
      <w:pPr>
        <w:pStyle w:val="Normal"/>
        <w:rPr>
          <w:b/>
        </w:rPr>
      </w:pPr>
      <w:r>
        <w:rPr>
          <w:b/>
        </w:rPr>
      </w:r>
    </w:p>
    <w:p>
      <w:pPr>
        <w:pStyle w:val="Normal"/>
        <w:numPr>
          <w:ilvl w:val="0"/>
          <w:numId w:val="11"/>
        </w:numPr>
        <w:rPr/>
      </w:pPr>
      <w:r>
        <w:rPr/>
        <w:t>B.B.A. in Accounting, Iowa State University (1984)</w:t>
      </w:r>
    </w:p>
    <w:p>
      <w:pPr>
        <w:pStyle w:val="Normal"/>
        <w:numPr>
          <w:ilvl w:val="0"/>
          <w:numId w:val="11"/>
        </w:numPr>
        <w:rPr/>
      </w:pPr>
      <w:r>
        <w:rPr/>
        <w:t>Senior Auditor and C.P.A. for Deloitte, Haskins and Sells (July 1984 - July 1987)</w:t>
      </w:r>
    </w:p>
    <w:p>
      <w:pPr>
        <w:pStyle w:val="Normal"/>
        <w:numPr>
          <w:ilvl w:val="0"/>
          <w:numId w:val="11"/>
        </w:numPr>
        <w:rPr/>
      </w:pPr>
      <w:r>
        <w:rPr/>
        <w:t>14 ½  years at Enron in the following positions -</w:t>
      </w:r>
    </w:p>
    <w:p>
      <w:pPr>
        <w:pStyle w:val="Normal"/>
        <w:ind w:start="720" w:end="0"/>
        <w:rPr/>
      </w:pPr>
      <w:r>
        <w:rPr/>
        <w:t>July 1987 - June 1990:</w:t>
        <w:tab/>
        <w:t>Accounting Supervisor - Interstate Gas Pipeline Group</w:t>
      </w:r>
    </w:p>
    <w:p>
      <w:pPr>
        <w:pStyle w:val="Normal"/>
        <w:ind w:start="720" w:end="0"/>
        <w:rPr/>
      </w:pPr>
      <w:r>
        <w:rPr/>
        <w:t>June 1990 - Sept. 1992:</w:t>
        <w:tab/>
        <w:t>Accounting and Financial Planning Manager - Mojave Pipeline Co.</w:t>
      </w:r>
    </w:p>
    <w:p>
      <w:pPr>
        <w:pStyle w:val="Normal"/>
        <w:ind w:start="720" w:end="0"/>
        <w:rPr/>
      </w:pPr>
      <w:r>
        <w:rPr/>
        <w:t>Sept. 1992 - May 1994:</w:t>
        <w:tab/>
        <w:t>Project Financing Specialist - Citrus/FGT</w:t>
        <w:tab/>
      </w:r>
    </w:p>
    <w:p>
      <w:pPr>
        <w:pStyle w:val="Normal"/>
        <w:ind w:start="720" w:end="0"/>
        <w:rPr/>
      </w:pPr>
      <w:r>
        <w:rPr/>
        <w:t>May 1994 - Mar. 1995:</w:t>
        <w:tab/>
        <w:t>Director, Finance and Planning - Citrus/FGT</w:t>
      </w:r>
    </w:p>
    <w:p>
      <w:pPr>
        <w:pStyle w:val="Normal"/>
        <w:ind w:start="720" w:end="0"/>
        <w:rPr/>
      </w:pPr>
      <w:r>
        <w:rPr/>
        <w:t>Mar. 1995 – Aug. 1995:</w:t>
        <w:tab/>
        <w:t>Director, ECT Downstream Finance Group</w:t>
      </w:r>
    </w:p>
    <w:p>
      <w:pPr>
        <w:pStyle w:val="Normal"/>
        <w:ind w:start="720" w:end="0"/>
        <w:rPr/>
      </w:pPr>
      <w:r>
        <w:rPr/>
        <w:t>Aug. 1995 - Aug. 1997:</w:t>
        <w:tab/>
        <w:t>Director, Enron Europe Treasury</w:t>
      </w:r>
    </w:p>
    <w:p>
      <w:pPr>
        <w:pStyle w:val="Normal"/>
        <w:ind w:start="720" w:end="0"/>
        <w:rPr/>
      </w:pPr>
      <w:r>
        <w:rPr/>
        <w:t>Aug. 1997 - Sept. 1999:</w:t>
        <w:tab/>
        <w:t>Vice President, ECT Gas Assets Group, Finance &amp; Strategic Ventures</w:t>
      </w:r>
    </w:p>
    <w:p>
      <w:pPr>
        <w:pStyle w:val="Normal"/>
        <w:ind w:start="720" w:end="0"/>
        <w:rPr/>
      </w:pPr>
      <w:r>
        <w:rPr/>
        <w:t>Sept. 1999 – Aug. 2001:</w:t>
        <w:tab/>
        <w:t>Vice President, Chief Financial Officer, Enron Broadband Services</w:t>
      </w:r>
    </w:p>
    <w:p>
      <w:pPr>
        <w:pStyle w:val="Normal"/>
        <w:ind w:start="720" w:end="0"/>
        <w:rPr/>
      </w:pPr>
      <w:r>
        <w:rPr/>
        <w:t>Aug.. 2001 – Oct. 2001:</w:t>
        <w:tab/>
        <w:t>Vice President, Global Finance – Corporate Development</w:t>
      </w:r>
    </w:p>
    <w:p>
      <w:pPr>
        <w:pStyle w:val="Normal"/>
        <w:rPr/>
      </w:pPr>
      <w:r>
        <w:rPr/>
      </w:r>
    </w:p>
    <w:p>
      <w:pPr>
        <w:pStyle w:val="Normal"/>
        <w:ind w:start="720" w:end="0"/>
        <w:rPr/>
      </w:pPr>
      <w:r>
        <w:rPr/>
      </w:r>
    </w:p>
    <w:p>
      <w:pPr>
        <w:pStyle w:val="Normal"/>
        <w:rPr/>
      </w:pPr>
      <w:r>
        <w:rPr/>
      </w:r>
    </w:p>
    <w:p>
      <w:pPr>
        <w:pStyle w:val="Normal"/>
        <w:rPr>
          <w:b/>
        </w:rPr>
      </w:pPr>
      <w:r>
        <w:rPr>
          <w:b/>
        </w:rPr>
        <w:t>Accounting Supervisor – Interstate Pipeline Group</w:t>
      </w:r>
    </w:p>
    <w:p>
      <w:pPr>
        <w:pStyle w:val="Normal"/>
        <w:rPr>
          <w:b/>
        </w:rPr>
      </w:pPr>
      <w:r>
        <w:rPr>
          <w:b/>
        </w:rPr>
        <w:t xml:space="preserve">July 1987 – June 1990 </w:t>
      </w:r>
    </w:p>
    <w:p>
      <w:pPr>
        <w:pStyle w:val="Normal"/>
        <w:rPr>
          <w:b/>
        </w:rPr>
      </w:pPr>
      <w:r>
        <w:rPr>
          <w:b/>
        </w:rPr>
      </w:r>
    </w:p>
    <w:p>
      <w:pPr>
        <w:pStyle w:val="Normal"/>
        <w:numPr>
          <w:ilvl w:val="0"/>
          <w:numId w:val="5"/>
        </w:numPr>
        <w:tabs>
          <w:tab w:val="clear" w:pos="720"/>
          <w:tab w:val="left" w:pos="360" w:leader="none"/>
        </w:tabs>
        <w:ind w:hanging="360" w:start="360" w:end="0"/>
        <w:jc w:val="both"/>
        <w:rPr>
          <w:bCs/>
        </w:rPr>
      </w:pPr>
      <w:r>
        <w:rPr>
          <w:bCs/>
        </w:rPr>
        <w:t>Supervised the monthly general accounting and financial reporting for Enron’s various pipeline entities including Citrus Corp., Florida Gas Transmission Company, Citrus Marketing Company, Transwestern Pipeline Company and Black Marlin Pipeline Company.</w:t>
      </w:r>
    </w:p>
    <w:p>
      <w:pPr>
        <w:pStyle w:val="Normal"/>
        <w:jc w:val="both"/>
        <w:rPr>
          <w:bCs/>
        </w:rPr>
      </w:pPr>
      <w:r>
        <w:rPr>
          <w:bCs/>
        </w:rPr>
      </w:r>
    </w:p>
    <w:p>
      <w:pPr>
        <w:pStyle w:val="Normal"/>
        <w:numPr>
          <w:ilvl w:val="0"/>
          <w:numId w:val="5"/>
        </w:numPr>
        <w:tabs>
          <w:tab w:val="clear" w:pos="720"/>
          <w:tab w:val="left" w:pos="360" w:leader="none"/>
        </w:tabs>
        <w:ind w:hanging="360" w:start="360" w:end="0"/>
        <w:jc w:val="both"/>
        <w:rPr>
          <w:bCs/>
        </w:rPr>
      </w:pPr>
      <w:r>
        <w:rPr>
          <w:bCs/>
        </w:rPr>
        <w:t>Supervised the preparation of the quarterly and annual financial information for the pipeline entities mentioned above for use in Enron’s independent audit of its financial statements.</w:t>
      </w:r>
    </w:p>
    <w:p>
      <w:pPr>
        <w:pStyle w:val="Normal"/>
        <w:jc w:val="both"/>
        <w:rPr>
          <w:bCs/>
        </w:rPr>
      </w:pPr>
      <w:r>
        <w:rPr>
          <w:bCs/>
        </w:rPr>
      </w:r>
    </w:p>
    <w:p>
      <w:pPr>
        <w:pStyle w:val="Normal"/>
        <w:numPr>
          <w:ilvl w:val="0"/>
          <w:numId w:val="5"/>
        </w:numPr>
        <w:tabs>
          <w:tab w:val="clear" w:pos="720"/>
          <w:tab w:val="left" w:pos="360" w:leader="none"/>
        </w:tabs>
        <w:ind w:hanging="360" w:start="360" w:end="0"/>
        <w:jc w:val="both"/>
        <w:rPr>
          <w:bCs/>
        </w:rPr>
      </w:pPr>
      <w:r>
        <w:rPr>
          <w:bCs/>
        </w:rPr>
        <w:t>Prepared annual FERC Form 2 financial reports for Florida Gas Transmission Company and Black Marlin Pipeline Company.</w:t>
      </w:r>
    </w:p>
    <w:p>
      <w:pPr>
        <w:pStyle w:val="Normal"/>
        <w:jc w:val="both"/>
        <w:rPr>
          <w:bCs/>
        </w:rPr>
      </w:pPr>
      <w:r>
        <w:rPr>
          <w:bCs/>
        </w:rPr>
      </w:r>
    </w:p>
    <w:p>
      <w:pPr>
        <w:pStyle w:val="Normal"/>
        <w:jc w:val="both"/>
        <w:rPr>
          <w:b/>
        </w:rPr>
      </w:pPr>
      <w:r>
        <w:rPr>
          <w:b/>
        </w:rPr>
        <w:t>Accounting and Financial Planning Manager – Mojave Pipeline Company</w:t>
      </w:r>
    </w:p>
    <w:p>
      <w:pPr>
        <w:pStyle w:val="Normal"/>
        <w:jc w:val="both"/>
        <w:rPr>
          <w:b/>
        </w:rPr>
      </w:pPr>
      <w:r>
        <w:rPr>
          <w:b/>
        </w:rPr>
        <w:t>June 1990 – September 1992</w:t>
      </w:r>
    </w:p>
    <w:p>
      <w:pPr>
        <w:pStyle w:val="Normal"/>
        <w:jc w:val="both"/>
        <w:rPr>
          <w:b/>
        </w:rPr>
      </w:pPr>
      <w:r>
        <w:rPr>
          <w:b/>
        </w:rPr>
      </w:r>
    </w:p>
    <w:p>
      <w:pPr>
        <w:pStyle w:val="Normal"/>
        <w:jc w:val="both"/>
        <w:rPr>
          <w:bCs/>
        </w:rPr>
      </w:pPr>
      <w:r>
        <w:rPr>
          <w:bCs/>
        </w:rPr>
        <w:t>Mojave Pipeline Company was a 50/50 joint venture between and Enron and EPNG to develop the first interstate pipeline into the state of California.  I was the only Enron employee assigned to this project for the first 18 months.</w:t>
      </w:r>
    </w:p>
    <w:p>
      <w:pPr>
        <w:pStyle w:val="Normal"/>
        <w:jc w:val="both"/>
        <w:rPr>
          <w:bCs/>
        </w:rPr>
      </w:pPr>
      <w:r>
        <w:rPr>
          <w:bCs/>
        </w:rPr>
      </w:r>
    </w:p>
    <w:p>
      <w:pPr>
        <w:pStyle w:val="Normal"/>
        <w:jc w:val="both"/>
        <w:rPr>
          <w:bCs/>
        </w:rPr>
      </w:pPr>
      <w:r>
        <w:rPr>
          <w:bCs/>
        </w:rPr>
        <w:t>Responsibilities included -</w:t>
      </w:r>
    </w:p>
    <w:p>
      <w:pPr>
        <w:pStyle w:val="Normal"/>
        <w:numPr>
          <w:ilvl w:val="0"/>
          <w:numId w:val="4"/>
        </w:numPr>
        <w:jc w:val="both"/>
        <w:rPr>
          <w:bCs/>
        </w:rPr>
      </w:pPr>
      <w:r>
        <w:rPr>
          <w:bCs/>
        </w:rPr>
        <w:t>General accounting and financial reporting</w:t>
      </w:r>
    </w:p>
    <w:p>
      <w:pPr>
        <w:pStyle w:val="Normal"/>
        <w:numPr>
          <w:ilvl w:val="0"/>
          <w:numId w:val="4"/>
        </w:numPr>
        <w:jc w:val="both"/>
        <w:rPr>
          <w:bCs/>
        </w:rPr>
      </w:pPr>
      <w:r>
        <w:rPr>
          <w:bCs/>
        </w:rPr>
        <w:t>Accounts payable</w:t>
      </w:r>
    </w:p>
    <w:p>
      <w:pPr>
        <w:pStyle w:val="Normal"/>
        <w:numPr>
          <w:ilvl w:val="0"/>
          <w:numId w:val="4"/>
        </w:numPr>
        <w:jc w:val="both"/>
        <w:rPr>
          <w:bCs/>
        </w:rPr>
      </w:pPr>
      <w:r>
        <w:rPr>
          <w:bCs/>
        </w:rPr>
        <w:t>Fixed assets</w:t>
      </w:r>
    </w:p>
    <w:p>
      <w:pPr>
        <w:pStyle w:val="Normal"/>
        <w:numPr>
          <w:ilvl w:val="0"/>
          <w:numId w:val="4"/>
        </w:numPr>
        <w:jc w:val="both"/>
        <w:rPr>
          <w:bCs/>
        </w:rPr>
      </w:pPr>
      <w:r>
        <w:rPr>
          <w:bCs/>
        </w:rPr>
        <w:t>Financial planning</w:t>
      </w:r>
    </w:p>
    <w:p>
      <w:pPr>
        <w:pStyle w:val="Normal"/>
        <w:numPr>
          <w:ilvl w:val="0"/>
          <w:numId w:val="4"/>
        </w:numPr>
        <w:jc w:val="both"/>
        <w:rPr>
          <w:bCs/>
        </w:rPr>
      </w:pPr>
      <w:r>
        <w:rPr>
          <w:bCs/>
        </w:rPr>
        <w:t>Joint Venture with EPNG to build the first interstate pipeline into California</w:t>
      </w:r>
    </w:p>
    <w:p>
      <w:pPr>
        <w:pStyle w:val="Normal"/>
        <w:numPr>
          <w:ilvl w:val="0"/>
          <w:numId w:val="4"/>
        </w:numPr>
        <w:jc w:val="both"/>
        <w:rPr>
          <w:bCs/>
        </w:rPr>
      </w:pPr>
      <w:r>
        <w:rPr>
          <w:bCs/>
        </w:rPr>
        <w:t>$180 million Project Financing</w:t>
      </w:r>
    </w:p>
    <w:p>
      <w:pPr>
        <w:pStyle w:val="Normal"/>
        <w:jc w:val="both"/>
        <w:rPr>
          <w:bCs/>
        </w:rPr>
      </w:pPr>
      <w:r>
        <w:rPr>
          <w:bCs/>
        </w:rPr>
      </w:r>
    </w:p>
    <w:p>
      <w:pPr>
        <w:pStyle w:val="Heading1"/>
        <w:ind w:hanging="0" w:start="0"/>
        <w:jc w:val="both"/>
        <w:rPr/>
      </w:pPr>
      <w:r>
        <w:rPr/>
        <w:t>Project Financing Specialist – Citrus / FGT</w:t>
      </w:r>
    </w:p>
    <w:p>
      <w:pPr>
        <w:pStyle w:val="Normal"/>
        <w:jc w:val="both"/>
        <w:rPr>
          <w:b/>
        </w:rPr>
      </w:pPr>
      <w:r>
        <w:rPr>
          <w:b/>
        </w:rPr>
        <w:t>September 1992 – May 1994</w:t>
      </w:r>
    </w:p>
    <w:p>
      <w:pPr>
        <w:pStyle w:val="Normal"/>
        <w:jc w:val="both"/>
        <w:rPr>
          <w:b/>
        </w:rPr>
      </w:pPr>
      <w:r>
        <w:rPr>
          <w:b/>
        </w:rPr>
      </w:r>
    </w:p>
    <w:p>
      <w:pPr>
        <w:pStyle w:val="Normal"/>
        <w:jc w:val="both"/>
        <w:rPr>
          <w:bCs/>
        </w:rPr>
      </w:pPr>
      <w:r>
        <w:rPr>
          <w:bCs/>
        </w:rPr>
        <w:t>Participated in the following financings –</w:t>
      </w:r>
    </w:p>
    <w:p>
      <w:pPr>
        <w:pStyle w:val="Normal"/>
        <w:numPr>
          <w:ilvl w:val="0"/>
          <w:numId w:val="6"/>
        </w:numPr>
        <w:jc w:val="both"/>
        <w:rPr>
          <w:bCs/>
        </w:rPr>
      </w:pPr>
      <w:r>
        <w:rPr>
          <w:bCs/>
        </w:rPr>
        <w:t xml:space="preserve">$175 million FGT Transition Cost Recovery financing </w:t>
      </w:r>
    </w:p>
    <w:p>
      <w:pPr>
        <w:pStyle w:val="Normal"/>
        <w:numPr>
          <w:ilvl w:val="0"/>
          <w:numId w:val="6"/>
        </w:numPr>
        <w:jc w:val="both"/>
        <w:rPr>
          <w:bCs/>
        </w:rPr>
      </w:pPr>
      <w:r>
        <w:rPr>
          <w:bCs/>
        </w:rPr>
        <w:t>$175 million Revolving Credit Facility</w:t>
      </w:r>
    </w:p>
    <w:p>
      <w:pPr>
        <w:pStyle w:val="Normal"/>
        <w:jc w:val="both"/>
        <w:rPr>
          <w:bCs/>
        </w:rPr>
      </w:pPr>
      <w:r>
        <w:rPr>
          <w:bCs/>
        </w:rPr>
      </w:r>
    </w:p>
    <w:p>
      <w:pPr>
        <w:pStyle w:val="Heading1"/>
        <w:ind w:hanging="0" w:start="0"/>
        <w:jc w:val="both"/>
        <w:rPr>
          <w:b w:val="false"/>
          <w:bCs/>
        </w:rPr>
      </w:pPr>
      <w:r>
        <w:rPr/>
        <w:t>Director, Finance and Planning – Citrus / FGT</w:t>
      </w:r>
    </w:p>
    <w:p>
      <w:pPr>
        <w:pStyle w:val="Normal"/>
        <w:jc w:val="both"/>
        <w:rPr>
          <w:b/>
        </w:rPr>
      </w:pPr>
      <w:r>
        <w:rPr>
          <w:b/>
        </w:rPr>
        <w:t>May 1994 – March 1995</w:t>
      </w:r>
    </w:p>
    <w:p>
      <w:pPr>
        <w:pStyle w:val="Normal"/>
        <w:jc w:val="both"/>
        <w:rPr>
          <w:b/>
        </w:rPr>
      </w:pPr>
      <w:r>
        <w:rPr>
          <w:b/>
        </w:rPr>
      </w:r>
    </w:p>
    <w:p>
      <w:pPr>
        <w:pStyle w:val="Normal"/>
        <w:jc w:val="both"/>
        <w:rPr>
          <w:bCs/>
        </w:rPr>
      </w:pPr>
      <w:r>
        <w:rPr>
          <w:bCs/>
        </w:rPr>
        <w:t>Led / Participated in the following financings -</w:t>
      </w:r>
    </w:p>
    <w:p>
      <w:pPr>
        <w:pStyle w:val="Normal"/>
        <w:numPr>
          <w:ilvl w:val="0"/>
          <w:numId w:val="3"/>
        </w:numPr>
        <w:jc w:val="both"/>
        <w:rPr>
          <w:bCs/>
        </w:rPr>
      </w:pPr>
      <w:r>
        <w:rPr>
          <w:bCs/>
        </w:rPr>
        <w:t>$700 million FGT Phase III 144A financing</w:t>
      </w:r>
    </w:p>
    <w:p>
      <w:pPr>
        <w:pStyle w:val="Normal"/>
        <w:numPr>
          <w:ilvl w:val="0"/>
          <w:numId w:val="3"/>
        </w:numPr>
        <w:jc w:val="both"/>
        <w:rPr>
          <w:bCs/>
        </w:rPr>
      </w:pPr>
      <w:r>
        <w:rPr>
          <w:bCs/>
        </w:rPr>
        <w:t>$90 million Citrus Note Re-Financing</w:t>
      </w:r>
    </w:p>
    <w:p>
      <w:pPr>
        <w:pStyle w:val="Normal"/>
        <w:numPr>
          <w:ilvl w:val="0"/>
          <w:numId w:val="3"/>
        </w:numPr>
        <w:jc w:val="both"/>
        <w:rPr>
          <w:bCs/>
        </w:rPr>
      </w:pPr>
      <w:r>
        <w:rPr>
          <w:bCs/>
        </w:rPr>
        <w:t>$300 million Citrus Corp Construction Loan Facility</w:t>
      </w:r>
    </w:p>
    <w:p>
      <w:pPr>
        <w:pStyle w:val="Normal"/>
        <w:jc w:val="both"/>
        <w:rPr>
          <w:bCs/>
        </w:rPr>
      </w:pPr>
      <w:r>
        <w:rPr>
          <w:bCs/>
        </w:rPr>
      </w:r>
    </w:p>
    <w:p>
      <w:pPr>
        <w:pStyle w:val="Normal"/>
        <w:jc w:val="both"/>
        <w:rPr>
          <w:bCs/>
        </w:rPr>
      </w:pPr>
      <w:r>
        <w:rPr>
          <w:bCs/>
        </w:rPr>
      </w:r>
    </w:p>
    <w:p>
      <w:pPr>
        <w:pStyle w:val="Heading1"/>
        <w:ind w:hanging="0" w:start="0"/>
        <w:jc w:val="both"/>
        <w:rPr/>
      </w:pPr>
      <w:r>
        <w:rPr/>
        <w:t>Director, ECT Downstream Finance Group</w:t>
      </w:r>
    </w:p>
    <w:p>
      <w:pPr>
        <w:pStyle w:val="Normal"/>
        <w:jc w:val="both"/>
        <w:rPr>
          <w:b/>
        </w:rPr>
      </w:pPr>
      <w:r>
        <w:rPr>
          <w:b/>
        </w:rPr>
        <w:t>March 1995 – August 1995</w:t>
      </w:r>
    </w:p>
    <w:p>
      <w:pPr>
        <w:pStyle w:val="Normal"/>
        <w:jc w:val="both"/>
        <w:rPr>
          <w:b/>
        </w:rPr>
      </w:pPr>
      <w:r>
        <w:rPr>
          <w:b/>
        </w:rPr>
      </w:r>
    </w:p>
    <w:p>
      <w:pPr>
        <w:pStyle w:val="Normal"/>
        <w:numPr>
          <w:ilvl w:val="0"/>
          <w:numId w:val="10"/>
        </w:numPr>
        <w:jc w:val="both"/>
        <w:rPr>
          <w:bCs/>
        </w:rPr>
      </w:pPr>
      <w:r>
        <w:rPr>
          <w:b/>
        </w:rPr>
        <w:t>Hanover Equity Purchase:</w:t>
      </w:r>
      <w:r>
        <w:rPr>
          <w:bCs/>
        </w:rPr>
        <w:t xml:space="preserve">  Identified, developed and executed ECT’s  purchase (through its JEDI partnership) of $20 million in common stock and $10 million in convertible preferred stock  of Hanover Compressor Company.   This $30 million investment appreciated in value to a high of $195 million with a final exit price of $130 million, making it one of the most successful (and </w:t>
      </w:r>
      <w:r>
        <w:rPr>
          <w:bCs/>
          <w:u w:val="single"/>
        </w:rPr>
        <w:t>sustainable</w:t>
      </w:r>
      <w:r>
        <w:rPr>
          <w:bCs/>
        </w:rPr>
        <w:t>) equity investments at Enron.  In addition, this transaction led to approximately $100 million in earnings in follow-on transactions with Hanover as more fully described below.</w:t>
      </w:r>
    </w:p>
    <w:p>
      <w:pPr>
        <w:pStyle w:val="Normal"/>
        <w:jc w:val="both"/>
        <w:rPr>
          <w:bCs/>
        </w:rPr>
      </w:pPr>
      <w:r>
        <w:rPr>
          <w:bCs/>
        </w:rPr>
      </w:r>
    </w:p>
    <w:p>
      <w:pPr>
        <w:pStyle w:val="Heading1"/>
        <w:ind w:hanging="0" w:start="0"/>
        <w:jc w:val="both"/>
        <w:rPr/>
      </w:pPr>
      <w:r>
        <w:rPr/>
        <w:t>Director – Enron Europe Treasury</w:t>
      </w:r>
    </w:p>
    <w:p>
      <w:pPr>
        <w:pStyle w:val="Normal"/>
        <w:jc w:val="both"/>
        <w:rPr>
          <w:b/>
        </w:rPr>
      </w:pPr>
      <w:r>
        <w:rPr>
          <w:b/>
        </w:rPr>
        <w:t>August 1995 – August 1997</w:t>
      </w:r>
    </w:p>
    <w:p>
      <w:pPr>
        <w:pStyle w:val="Normal"/>
        <w:jc w:val="both"/>
        <w:rPr>
          <w:b/>
        </w:rPr>
      </w:pPr>
      <w:r>
        <w:rPr>
          <w:b/>
        </w:rPr>
      </w:r>
    </w:p>
    <w:p>
      <w:pPr>
        <w:pStyle w:val="Normal"/>
        <w:numPr>
          <w:ilvl w:val="0"/>
          <w:numId w:val="7"/>
        </w:numPr>
        <w:jc w:val="both"/>
        <w:rPr>
          <w:bCs/>
        </w:rPr>
      </w:pPr>
      <w:r>
        <w:rPr>
          <w:b/>
        </w:rPr>
        <w:t>Project Omega:</w:t>
      </w:r>
      <w:r>
        <w:rPr>
          <w:bCs/>
        </w:rPr>
        <w:t xml:space="preserve">  Monetization of Teeside Power Limited O&amp;M contract generating $10 million in earnings and $12 million in cash flow.  This transaction was the first for Enron Europe’s new Treasury department  and was the first time that an O&amp;M contract had been monetized for earnings.</w:t>
      </w:r>
    </w:p>
    <w:p>
      <w:pPr>
        <w:pStyle w:val="Normal"/>
        <w:jc w:val="both"/>
        <w:rPr>
          <w:bCs/>
        </w:rPr>
      </w:pPr>
      <w:r>
        <w:rPr>
          <w:bCs/>
        </w:rPr>
      </w:r>
    </w:p>
    <w:p>
      <w:pPr>
        <w:pStyle w:val="Normal"/>
        <w:numPr>
          <w:ilvl w:val="0"/>
          <w:numId w:val="7"/>
        </w:numPr>
        <w:jc w:val="both"/>
        <w:rPr>
          <w:bCs/>
        </w:rPr>
      </w:pPr>
      <w:r>
        <w:rPr>
          <w:b/>
        </w:rPr>
        <w:t>Project Breakfast:</w:t>
      </w:r>
      <w:r>
        <w:rPr>
          <w:bCs/>
        </w:rPr>
        <w:t xml:space="preserve">  Managed the potential acquisition of a $22 billion British natural gas company for 6 months, including economic analysis, structuring and funding.</w:t>
      </w:r>
    </w:p>
    <w:p>
      <w:pPr>
        <w:pStyle w:val="Normal"/>
        <w:jc w:val="both"/>
        <w:rPr>
          <w:bCs/>
        </w:rPr>
      </w:pPr>
      <w:r>
        <w:rPr>
          <w:bCs/>
        </w:rPr>
      </w:r>
    </w:p>
    <w:p>
      <w:pPr>
        <w:pStyle w:val="Normal"/>
        <w:numPr>
          <w:ilvl w:val="0"/>
          <w:numId w:val="7"/>
        </w:numPr>
        <w:jc w:val="both"/>
        <w:rPr>
          <w:bCs/>
        </w:rPr>
      </w:pPr>
      <w:r>
        <w:rPr>
          <w:b/>
        </w:rPr>
        <w:t>Project Umbrella</w:t>
      </w:r>
      <w:r>
        <w:rPr>
          <w:bCs/>
        </w:rPr>
        <w:t>:  Managed the potential acquisition of a $3 billion UK regional electricity company, including economic analysis, structuring and funding.</w:t>
      </w:r>
    </w:p>
    <w:p>
      <w:pPr>
        <w:pStyle w:val="Normal"/>
        <w:jc w:val="both"/>
        <w:rPr>
          <w:bCs/>
        </w:rPr>
      </w:pPr>
      <w:r>
        <w:rPr>
          <w:bCs/>
        </w:rPr>
      </w:r>
    </w:p>
    <w:p>
      <w:pPr>
        <w:pStyle w:val="Normal"/>
        <w:numPr>
          <w:ilvl w:val="0"/>
          <w:numId w:val="7"/>
        </w:numPr>
        <w:jc w:val="both"/>
        <w:rPr>
          <w:b/>
        </w:rPr>
      </w:pPr>
      <w:r>
        <w:rPr>
          <w:b/>
        </w:rPr>
        <w:t xml:space="preserve">Project Brunner Mond:  </w:t>
      </w:r>
      <w:r>
        <w:rPr>
          <w:bCs/>
        </w:rPr>
        <w:t>Identified and structured a $300 million project financing arrangement for Enron Europe’s first inside-the-fence cogeneration project.  After six months of negotiations, counterparty failed to execute transaction.</w:t>
      </w:r>
    </w:p>
    <w:p>
      <w:pPr>
        <w:pStyle w:val="Normal"/>
        <w:jc w:val="both"/>
        <w:rPr>
          <w:b/>
        </w:rPr>
      </w:pPr>
      <w:r>
        <w:rPr>
          <w:b/>
        </w:rPr>
      </w:r>
    </w:p>
    <w:p>
      <w:pPr>
        <w:pStyle w:val="Normal"/>
        <w:numPr>
          <w:ilvl w:val="0"/>
          <w:numId w:val="7"/>
        </w:numPr>
        <w:jc w:val="both"/>
        <w:rPr>
          <w:bCs/>
        </w:rPr>
      </w:pPr>
      <w:r>
        <w:rPr>
          <w:b/>
        </w:rPr>
        <w:t>Sutton Bridge Debt Financing:</w:t>
      </w:r>
      <w:r>
        <w:rPr>
          <w:bCs/>
        </w:rPr>
        <w:t xml:space="preserve">  Identified, structured and executed on the $486 million, 25 year, multi-currency, 144A / Sterling Bond offering for the Sutton Bridge debt financing.  This financing won numerous international project finance awards, was the first merchant plant financing in the 144A / Sterling Bond markets, and recognized Enron Europe as a merchant powerhouse in Europe.</w:t>
      </w:r>
    </w:p>
    <w:p>
      <w:pPr>
        <w:pStyle w:val="Normal"/>
        <w:jc w:val="both"/>
        <w:rPr>
          <w:bCs/>
        </w:rPr>
      </w:pPr>
      <w:r>
        <w:rPr>
          <w:bCs/>
        </w:rPr>
      </w:r>
    </w:p>
    <w:p>
      <w:pPr>
        <w:pStyle w:val="Normal"/>
        <w:numPr>
          <w:ilvl w:val="0"/>
          <w:numId w:val="7"/>
        </w:numPr>
        <w:jc w:val="both"/>
        <w:rPr>
          <w:bCs/>
        </w:rPr>
      </w:pPr>
      <w:r>
        <w:rPr>
          <w:b/>
        </w:rPr>
        <w:t>Sutton Bridge Equity Financing:</w:t>
      </w:r>
      <w:r>
        <w:rPr>
          <w:bCs/>
        </w:rPr>
        <w:t xml:space="preserve">  Identified, structured and executed on the $80 million equity placement for the Sutton Bridge transaction.  This transaction, along with the debt financing, allowed Enron Europe to recognize approximately $50 million in earnings in 1997.</w:t>
      </w:r>
    </w:p>
    <w:p>
      <w:pPr>
        <w:pStyle w:val="Normal"/>
        <w:jc w:val="both"/>
        <w:rPr>
          <w:bCs/>
        </w:rPr>
      </w:pPr>
      <w:r>
        <w:rPr>
          <w:bCs/>
        </w:rPr>
      </w:r>
    </w:p>
    <w:p>
      <w:pPr>
        <w:pStyle w:val="Normal"/>
        <w:jc w:val="both"/>
        <w:rPr>
          <w:bCs/>
        </w:rPr>
      </w:pPr>
      <w:r>
        <w:rPr>
          <w:bCs/>
        </w:rPr>
      </w:r>
    </w:p>
    <w:p>
      <w:pPr>
        <w:pStyle w:val="Normal"/>
        <w:jc w:val="both"/>
        <w:rPr>
          <w:b/>
        </w:rPr>
      </w:pPr>
      <w:r>
        <w:rPr>
          <w:b/>
        </w:rPr>
        <w:t>Vice President, ECT Gas Assets - Finance and Strategic Ventures</w:t>
      </w:r>
    </w:p>
    <w:p>
      <w:pPr>
        <w:pStyle w:val="Normal"/>
        <w:jc w:val="both"/>
        <w:rPr>
          <w:b/>
        </w:rPr>
      </w:pPr>
      <w:r>
        <w:rPr>
          <w:b/>
        </w:rPr>
        <w:t>Promoted to VP in January 1998</w:t>
      </w:r>
    </w:p>
    <w:p>
      <w:pPr>
        <w:pStyle w:val="Normal"/>
        <w:jc w:val="both"/>
        <w:rPr>
          <w:b/>
        </w:rPr>
      </w:pPr>
      <w:r>
        <w:rPr>
          <w:b/>
        </w:rPr>
        <w:t>August 1997 – September 1999</w:t>
      </w:r>
    </w:p>
    <w:p>
      <w:pPr>
        <w:pStyle w:val="Normal"/>
        <w:jc w:val="both"/>
        <w:rPr>
          <w:b/>
        </w:rPr>
      </w:pPr>
      <w:r>
        <w:rPr>
          <w:b/>
        </w:rPr>
      </w:r>
    </w:p>
    <w:p>
      <w:pPr>
        <w:pStyle w:val="Normal"/>
        <w:jc w:val="both"/>
        <w:rPr>
          <w:b/>
        </w:rPr>
      </w:pPr>
      <w:r>
        <w:rPr>
          <w:b/>
        </w:rPr>
      </w:r>
    </w:p>
    <w:p>
      <w:pPr>
        <w:pStyle w:val="Normal"/>
        <w:numPr>
          <w:ilvl w:val="0"/>
          <w:numId w:val="9"/>
        </w:numPr>
        <w:jc w:val="both"/>
        <w:rPr>
          <w:b/>
        </w:rPr>
      </w:pPr>
      <w:r>
        <w:rPr>
          <w:b/>
        </w:rPr>
        <w:t>Hanover Compressor Company gas compression outsourcing and monetization (Phase I):</w:t>
      </w:r>
      <w:r>
        <w:rPr>
          <w:bCs/>
        </w:rPr>
        <w:t xml:space="preserve">  Identified, structured and executed the outsourcing of HPL’s  gas compression operations, generating approximately $26 million in cash flow and $17 million in earnings in Q3 1997</w:t>
      </w:r>
      <w:r>
        <w:rPr>
          <w:b/>
        </w:rPr>
        <w:t>.</w:t>
      </w:r>
    </w:p>
    <w:p>
      <w:pPr>
        <w:pStyle w:val="Normal"/>
        <w:jc w:val="both"/>
        <w:rPr>
          <w:b/>
        </w:rPr>
      </w:pPr>
      <w:r>
        <w:rPr>
          <w:b/>
        </w:rPr>
      </w:r>
    </w:p>
    <w:p>
      <w:pPr>
        <w:pStyle w:val="Normal"/>
        <w:numPr>
          <w:ilvl w:val="0"/>
          <w:numId w:val="9"/>
        </w:numPr>
        <w:jc w:val="both"/>
        <w:rPr>
          <w:b/>
        </w:rPr>
      </w:pPr>
      <w:r>
        <w:rPr>
          <w:b/>
        </w:rPr>
        <w:t>MidTexas Financing:</w:t>
      </w:r>
      <w:r>
        <w:rPr>
          <w:bCs/>
        </w:rPr>
        <w:t xml:space="preserve">  Identified, structured and executed the MidTexas Pipeline financial restructuring which generated approximately $45 million in cash flow and $40 million in tax-deferred earnings for ECT in Q2 1998.  In addition to being highly structured and complex, the transaction also involved significant negotiations with our joint venture partner, PG&amp;E.</w:t>
      </w:r>
    </w:p>
    <w:p>
      <w:pPr>
        <w:pStyle w:val="Normal"/>
        <w:jc w:val="both"/>
        <w:rPr>
          <w:b/>
        </w:rPr>
      </w:pPr>
      <w:r>
        <w:rPr>
          <w:b/>
        </w:rPr>
      </w:r>
    </w:p>
    <w:p>
      <w:pPr>
        <w:pStyle w:val="Normal"/>
        <w:numPr>
          <w:ilvl w:val="0"/>
          <w:numId w:val="9"/>
        </w:numPr>
        <w:jc w:val="both"/>
        <w:rPr>
          <w:b/>
        </w:rPr>
      </w:pPr>
      <w:r>
        <w:rPr>
          <w:b/>
        </w:rPr>
        <w:t>Hanover Phase II</w:t>
      </w:r>
      <w:r>
        <w:rPr>
          <w:bCs/>
        </w:rPr>
        <w:t>:  Supervised the closing of the second phase of HPL’s gas compression outsourcing and monetization which generated approximately $3.2 million in cash flow and $2.4 million in earnings in Q3 1998.</w:t>
      </w:r>
    </w:p>
    <w:p>
      <w:pPr>
        <w:pStyle w:val="Normal"/>
        <w:jc w:val="both"/>
        <w:rPr>
          <w:b/>
        </w:rPr>
      </w:pPr>
      <w:r>
        <w:rPr>
          <w:b/>
        </w:rPr>
      </w:r>
    </w:p>
    <w:p>
      <w:pPr>
        <w:pStyle w:val="Normal"/>
        <w:numPr>
          <w:ilvl w:val="0"/>
          <w:numId w:val="9"/>
        </w:numPr>
        <w:jc w:val="both"/>
        <w:rPr>
          <w:b/>
        </w:rPr>
      </w:pPr>
      <w:r>
        <w:rPr>
          <w:b/>
          <w:bCs/>
        </w:rPr>
        <w:t>Hanover Phase III:</w:t>
      </w:r>
      <w:r>
        <w:rPr/>
        <w:t xml:space="preserve">  Supervised the closing of the third phase of HPL’s gas compression outsourcing and monetization which generated approximately $10.0 million in cash flow and $7.5 million in earnings in Q2 1999.</w:t>
      </w:r>
    </w:p>
    <w:p>
      <w:pPr>
        <w:pStyle w:val="Normal"/>
        <w:jc w:val="both"/>
        <w:rPr>
          <w:b/>
        </w:rPr>
      </w:pPr>
      <w:r>
        <w:rPr>
          <w:b/>
        </w:rPr>
      </w:r>
    </w:p>
    <w:p>
      <w:pPr>
        <w:pStyle w:val="Normal"/>
        <w:numPr>
          <w:ilvl w:val="0"/>
          <w:numId w:val="9"/>
        </w:numPr>
        <w:jc w:val="both"/>
        <w:rPr>
          <w:b/>
        </w:rPr>
      </w:pPr>
      <w:r>
        <w:rPr>
          <w:b/>
          <w:bCs/>
        </w:rPr>
        <w:t>Project Looper:</w:t>
      </w:r>
      <w:r>
        <w:rPr>
          <w:b/>
        </w:rPr>
        <w:t xml:space="preserve">  </w:t>
      </w:r>
      <w:r>
        <w:rPr>
          <w:bCs/>
        </w:rPr>
        <w:t>Identified, structured and executed a $88 million off balance sheet financing vehicle to (i) finance HPL’s Bammel Storage electric gas compression and pipeline construction and (ii) recognize $30 million in tax deferred earnings in Q4 1998.</w:t>
      </w:r>
    </w:p>
    <w:p>
      <w:pPr>
        <w:pStyle w:val="Normal"/>
        <w:jc w:val="both"/>
        <w:rPr>
          <w:b/>
        </w:rPr>
      </w:pPr>
      <w:r>
        <w:rPr>
          <w:b/>
        </w:rPr>
      </w:r>
    </w:p>
    <w:p>
      <w:pPr>
        <w:pStyle w:val="Normal"/>
        <w:numPr>
          <w:ilvl w:val="0"/>
          <w:numId w:val="8"/>
        </w:numPr>
        <w:jc w:val="both"/>
        <w:rPr>
          <w:b/>
        </w:rPr>
      </w:pPr>
      <w:r>
        <w:rPr>
          <w:b/>
          <w:bCs/>
        </w:rPr>
        <w:t>Project Rock:</w:t>
      </w:r>
      <w:r>
        <w:rPr/>
        <w:t xml:space="preserve">  Identified, structured and executed on  a new business opportunity (HPL’s new measurement/operations service business – Hanover Measurement Services) which provided ENA with $20 million and $44 million in earnings and cash flow, respectively, in Q3 1999 (with additional earnings of $12 million in Q499, subject to final accounting resolution).  In addition to this asset monetization component, Project Rock will provide significant O&amp;M and overhead expense reductions of approximately $10-12 million  per year (measurement only – additional $5-7 million in pipeline operations savings) as well as a future growth vehicle for earnings and cash flow from the equity investment.  Total PV of transaction is $150 million.  Currently, member of HMS’ Board of Directors.  Value of HMS equity has already tripled in value with the expectations of a $100 million per year business.</w:t>
      </w:r>
    </w:p>
    <w:p>
      <w:pPr>
        <w:pStyle w:val="Normal"/>
        <w:jc w:val="both"/>
        <w:rPr>
          <w:b/>
        </w:rPr>
      </w:pPr>
      <w:r>
        <w:rPr>
          <w:b/>
        </w:rPr>
      </w:r>
    </w:p>
    <w:p>
      <w:pPr>
        <w:pStyle w:val="Normal"/>
        <w:numPr>
          <w:ilvl w:val="0"/>
          <w:numId w:val="8"/>
        </w:numPr>
        <w:jc w:val="both"/>
        <w:rPr>
          <w:b/>
        </w:rPr>
      </w:pPr>
      <w:r>
        <w:rPr>
          <w:b/>
          <w:bCs/>
        </w:rPr>
        <w:t>HPL Fair Value Re-allocation</w:t>
      </w:r>
      <w:r>
        <w:rPr/>
        <w:t>:  Supervised the HPL Fair Value Re-allocation project which transferred $2 Billion in Fair Value to certain isolated HPL assets, thereby unlocking value for non-fair valued HPL assets.  This unlocked substantial value that provided the means by which HPL could sell its assets to AEP.  Without this transaction, the HPL sale would have realized over $1 billion in losses related to the Fair Value adjustment.</w:t>
      </w:r>
    </w:p>
    <w:p>
      <w:pPr>
        <w:pStyle w:val="Normal"/>
        <w:jc w:val="both"/>
        <w:rPr>
          <w:b/>
        </w:rPr>
      </w:pPr>
      <w:r>
        <w:rPr>
          <w:b/>
        </w:rPr>
      </w:r>
    </w:p>
    <w:p>
      <w:pPr>
        <w:pStyle w:val="Heading1"/>
        <w:ind w:hanging="0" w:start="0"/>
        <w:jc w:val="both"/>
        <w:rPr>
          <w:bCs/>
        </w:rPr>
      </w:pPr>
      <w:r>
        <w:rPr>
          <w:bCs/>
        </w:rPr>
        <w:t>Vice President and Chief Financial Officer, Enron Broadband Services</w:t>
      </w:r>
    </w:p>
    <w:p>
      <w:pPr>
        <w:pStyle w:val="Normal"/>
        <w:jc w:val="both"/>
        <w:rPr>
          <w:b/>
          <w:bCs/>
        </w:rPr>
      </w:pPr>
      <w:r>
        <w:rPr>
          <w:b/>
          <w:bCs/>
        </w:rPr>
        <w:t>September 1999 – August 2001</w:t>
      </w:r>
    </w:p>
    <w:p>
      <w:pPr>
        <w:pStyle w:val="Normal"/>
        <w:jc w:val="both"/>
        <w:rPr>
          <w:b/>
          <w:bCs/>
        </w:rPr>
      </w:pPr>
      <w:r>
        <w:rPr>
          <w:b/>
          <w:bCs/>
        </w:rPr>
      </w:r>
    </w:p>
    <w:p>
      <w:pPr>
        <w:pStyle w:val="Normal"/>
        <w:numPr>
          <w:ilvl w:val="0"/>
          <w:numId w:val="8"/>
        </w:numPr>
        <w:jc w:val="both"/>
        <w:rPr>
          <w:b/>
        </w:rPr>
      </w:pPr>
      <w:r>
        <w:rPr>
          <w:b/>
          <w:bCs/>
        </w:rPr>
        <w:t>Built Global Finance department for start up company</w:t>
      </w:r>
      <w:r>
        <w:rPr/>
        <w:t>.  I had responsibilities over the finance, tax, RAC and research – atypical for other business unit CFOs.</w:t>
      </w:r>
    </w:p>
    <w:p>
      <w:pPr>
        <w:pStyle w:val="Normal"/>
        <w:jc w:val="both"/>
        <w:rPr>
          <w:b/>
        </w:rPr>
      </w:pPr>
      <w:r>
        <w:rPr>
          <w:b/>
        </w:rPr>
      </w:r>
    </w:p>
    <w:p>
      <w:pPr>
        <w:pStyle w:val="Normal"/>
        <w:numPr>
          <w:ilvl w:val="0"/>
          <w:numId w:val="8"/>
        </w:numPr>
        <w:jc w:val="both"/>
        <w:rPr>
          <w:b/>
        </w:rPr>
      </w:pPr>
      <w:r>
        <w:rPr>
          <w:b/>
          <w:bCs/>
        </w:rPr>
        <w:t>Member of Enron’s Vision and Values task force in 2000</w:t>
      </w:r>
      <w:r>
        <w:rPr/>
        <w:t>.</w:t>
      </w:r>
    </w:p>
    <w:p>
      <w:pPr>
        <w:pStyle w:val="Normal"/>
        <w:jc w:val="both"/>
        <w:rPr>
          <w:b/>
        </w:rPr>
      </w:pPr>
      <w:r>
        <w:rPr>
          <w:b/>
        </w:rPr>
      </w:r>
    </w:p>
    <w:p>
      <w:pPr>
        <w:pStyle w:val="Normal"/>
        <w:numPr>
          <w:ilvl w:val="0"/>
          <w:numId w:val="8"/>
        </w:numPr>
        <w:jc w:val="both"/>
        <w:rPr>
          <w:b/>
        </w:rPr>
      </w:pPr>
      <w:r>
        <w:rPr>
          <w:b/>
          <w:bCs/>
        </w:rPr>
        <w:t>Project Backbone I</w:t>
      </w:r>
      <w:r>
        <w:rPr/>
        <w:t>:  Identified, structured and executed on a $100 million seller-financed sale of dark fiber from EBS to a financial investor  generating $53 million in revenues and $30 million in cash flow.  Transaction allowed EBS to maintain all upside from future fiber sales and capped investor’s return at 18%.</w:t>
      </w:r>
    </w:p>
    <w:p>
      <w:pPr>
        <w:pStyle w:val="Normal"/>
        <w:jc w:val="both"/>
        <w:rPr>
          <w:b/>
        </w:rPr>
      </w:pPr>
      <w:r>
        <w:rPr>
          <w:b/>
        </w:rPr>
      </w:r>
    </w:p>
    <w:p>
      <w:pPr>
        <w:pStyle w:val="Normal"/>
        <w:numPr>
          <w:ilvl w:val="0"/>
          <w:numId w:val="8"/>
        </w:numPr>
        <w:jc w:val="both"/>
        <w:rPr>
          <w:b/>
        </w:rPr>
      </w:pPr>
      <w:r>
        <w:rPr>
          <w:b/>
          <w:bCs/>
        </w:rPr>
        <w:t>Global Crossing Bandwidth Prepayment</w:t>
      </w:r>
      <w:r>
        <w:rPr/>
        <w:t>:  Structured and executed on the first bandwidth prepay transaction in the telecom industry.  Transaction generated $2.5 million in earnings on a $17.7 million prepay for OC-12 capacity over 8 years.  Additionally, the prepay incorporated a surety  bond covering the physical performance obligation to deliver bandwidth, the first of its type in the industry.</w:t>
      </w:r>
    </w:p>
    <w:p>
      <w:pPr>
        <w:pStyle w:val="Normal"/>
        <w:jc w:val="both"/>
        <w:rPr>
          <w:b/>
        </w:rPr>
      </w:pPr>
      <w:r>
        <w:rPr>
          <w:b/>
        </w:rPr>
      </w:r>
    </w:p>
    <w:p>
      <w:pPr>
        <w:pStyle w:val="Normal"/>
        <w:numPr>
          <w:ilvl w:val="0"/>
          <w:numId w:val="8"/>
        </w:numPr>
        <w:jc w:val="both"/>
        <w:rPr>
          <w:b/>
        </w:rPr>
      </w:pPr>
      <w:r>
        <w:rPr>
          <w:b/>
          <w:bCs/>
        </w:rPr>
        <w:t>Project Backbone II</w:t>
      </w:r>
      <w:r>
        <w:rPr/>
        <w:t>:  Identified, structured and executed fiber sale take out for the Backbone I transaction, generating approximately $17 million in earnings on a $114 million sale of dark fiber between two third parties.  EBS retained economic exposure to the assets even though the fiber is non-consolidated for accounting purposes, affording EBS greater flexibility in future dispositions of the assets.</w:t>
      </w:r>
    </w:p>
    <w:p>
      <w:pPr>
        <w:pStyle w:val="Normal"/>
        <w:jc w:val="both"/>
        <w:rPr>
          <w:b/>
        </w:rPr>
      </w:pPr>
      <w:r>
        <w:rPr>
          <w:b/>
        </w:rPr>
      </w:r>
    </w:p>
    <w:p>
      <w:pPr>
        <w:pStyle w:val="Normal"/>
        <w:numPr>
          <w:ilvl w:val="0"/>
          <w:numId w:val="8"/>
        </w:numPr>
        <w:jc w:val="both"/>
        <w:rPr>
          <w:b/>
        </w:rPr>
      </w:pPr>
      <w:r>
        <w:rPr>
          <w:b/>
          <w:bCs/>
        </w:rPr>
        <w:t>Project Strangelove</w:t>
      </w:r>
      <w:r>
        <w:rPr>
          <w:b/>
        </w:rPr>
        <w:t xml:space="preserve">:  </w:t>
      </w:r>
      <w:r>
        <w:rPr>
          <w:bCs/>
        </w:rPr>
        <w:t>Created and structured $125 million off balance sheet financing vehicle to (i) fund the development of EBS’s metro trading platform, (ii) provide favorable accounting treatment for contracts that are not otherwise “markable” and (iii) provide cross collateralization for Backbone II financing vehicle.  This transaction did not close due to a subsequent sale of the underlying fiber to another counterparty.</w:t>
      </w:r>
    </w:p>
    <w:p>
      <w:pPr>
        <w:pStyle w:val="Normal"/>
        <w:jc w:val="both"/>
        <w:rPr>
          <w:b/>
        </w:rPr>
      </w:pPr>
      <w:r>
        <w:rPr>
          <w:b/>
        </w:rPr>
      </w:r>
    </w:p>
    <w:p>
      <w:pPr>
        <w:pStyle w:val="Normal"/>
        <w:numPr>
          <w:ilvl w:val="0"/>
          <w:numId w:val="8"/>
        </w:numPr>
        <w:jc w:val="both"/>
        <w:rPr>
          <w:b/>
        </w:rPr>
      </w:pPr>
      <w:r>
        <w:rPr>
          <w:b/>
        </w:rPr>
        <w:t xml:space="preserve">Project Braveheart:  </w:t>
      </w:r>
      <w:r>
        <w:rPr>
          <w:bCs/>
        </w:rPr>
        <w:t>Identified, structured and executed on the monetization of EBS’ content business, generating $53 million in earnings and funds flow.  This was the only significant transaction for EBS in the fourth quarter of 2000, thereby substantially covering EBS’ fourth quarter earnings target.</w:t>
      </w:r>
    </w:p>
    <w:p>
      <w:pPr>
        <w:pStyle w:val="Normal"/>
        <w:jc w:val="both"/>
        <w:rPr>
          <w:b/>
        </w:rPr>
      </w:pPr>
      <w:r>
        <w:rPr>
          <w:b/>
        </w:rPr>
      </w:r>
    </w:p>
    <w:p>
      <w:pPr>
        <w:pStyle w:val="Normal"/>
        <w:numPr>
          <w:ilvl w:val="0"/>
          <w:numId w:val="8"/>
        </w:numPr>
        <w:jc w:val="both"/>
        <w:rPr>
          <w:b/>
        </w:rPr>
      </w:pPr>
      <w:r>
        <w:rPr>
          <w:b/>
        </w:rPr>
        <w:t xml:space="preserve">Project Braveheart II:  </w:t>
      </w:r>
      <w:r>
        <w:rPr>
          <w:bCs/>
        </w:rPr>
        <w:t>Identified, structured and executed on the Q1 2001 re-valuation of EBS’ content business monetization vehicle, generating $50 million in earnings and funds flow.  This included the economic analysis, due diligence and documentation to Enron’s external auditors and financial investors.  In addition, this transaction substantially covered EBS’ Q12 2001 earnings target.</w:t>
      </w:r>
    </w:p>
    <w:p>
      <w:pPr>
        <w:pStyle w:val="Normal"/>
        <w:jc w:val="both"/>
        <w:rPr>
          <w:b/>
        </w:rPr>
      </w:pPr>
      <w:r>
        <w:rPr>
          <w:b/>
        </w:rPr>
      </w:r>
    </w:p>
    <w:p>
      <w:pPr>
        <w:pStyle w:val="Normal"/>
        <w:numPr>
          <w:ilvl w:val="0"/>
          <w:numId w:val="8"/>
        </w:numPr>
        <w:jc w:val="both"/>
        <w:rPr>
          <w:b/>
        </w:rPr>
      </w:pPr>
      <w:r>
        <w:rPr>
          <w:b/>
        </w:rPr>
        <w:t xml:space="preserve">Project ELBOW:  </w:t>
      </w:r>
      <w:r>
        <w:rPr>
          <w:bCs/>
        </w:rPr>
        <w:t xml:space="preserve">Structured and funded current and future games on demand deals to recognize $8 million in earnings on contracts that were otherwise “non-markable”.  This, in addition to Braveheart II and the Bandwidth Prepay mentioned above were the </w:t>
      </w:r>
      <w:r>
        <w:rPr>
          <w:bCs/>
          <w:u w:val="single"/>
        </w:rPr>
        <w:t>only</w:t>
      </w:r>
      <w:r>
        <w:rPr>
          <w:bCs/>
        </w:rPr>
        <w:t xml:space="preserve"> EBS income generating transactions in Q1 2001.</w:t>
      </w:r>
    </w:p>
    <w:p>
      <w:pPr>
        <w:pStyle w:val="Normal"/>
        <w:jc w:val="both"/>
        <w:rPr>
          <w:b/>
        </w:rPr>
      </w:pPr>
      <w:r>
        <w:rPr>
          <w:b/>
        </w:rPr>
      </w:r>
    </w:p>
    <w:p>
      <w:pPr>
        <w:pStyle w:val="Normal"/>
        <w:numPr>
          <w:ilvl w:val="0"/>
          <w:numId w:val="8"/>
        </w:numPr>
        <w:jc w:val="both"/>
        <w:rPr>
          <w:b/>
        </w:rPr>
      </w:pPr>
      <w:r>
        <w:rPr>
          <w:b/>
        </w:rPr>
        <w:t xml:space="preserve">Studio Financing Vehicle:  </w:t>
      </w:r>
      <w:r>
        <w:rPr>
          <w:bCs/>
        </w:rPr>
        <w:t>Developed and structured innovative $250 million off balance sheet financing package for various movie studios in an effort to entice them to negotiate long term Video-on-Demand transactions on highly favorable terms.  Although facility was never utilized, it established EBS’ credibility and demonstrated financial structuring capabilities to advance the VOD discussions.</w:t>
      </w:r>
    </w:p>
    <w:p>
      <w:pPr>
        <w:pStyle w:val="Normal"/>
        <w:jc w:val="both"/>
        <w:rPr>
          <w:b/>
        </w:rPr>
      </w:pPr>
      <w:r>
        <w:rPr>
          <w:b/>
        </w:rPr>
      </w:r>
    </w:p>
    <w:p>
      <w:pPr>
        <w:pStyle w:val="Normal"/>
        <w:numPr>
          <w:ilvl w:val="0"/>
          <w:numId w:val="8"/>
        </w:numPr>
        <w:jc w:val="both"/>
        <w:rPr>
          <w:b/>
        </w:rPr>
      </w:pPr>
      <w:r>
        <w:rPr>
          <w:b/>
        </w:rPr>
        <w:t xml:space="preserve">Other:  </w:t>
      </w:r>
      <w:r>
        <w:rPr>
          <w:bCs/>
        </w:rPr>
        <w:t>Provided structured financing support for the following new business activities –</w:t>
      </w:r>
    </w:p>
    <w:p>
      <w:pPr>
        <w:pStyle w:val="Normal"/>
        <w:numPr>
          <w:ilvl w:val="0"/>
          <w:numId w:val="8"/>
        </w:numPr>
        <w:tabs>
          <w:tab w:val="clear" w:pos="720"/>
          <w:tab w:val="left" w:pos="1080" w:leader="none"/>
        </w:tabs>
        <w:ind w:hanging="360" w:start="1080" w:end="0"/>
        <w:jc w:val="both"/>
        <w:rPr>
          <w:bCs/>
        </w:rPr>
      </w:pPr>
      <w:r>
        <w:rPr>
          <w:bCs/>
        </w:rPr>
        <w:t>Joint venture with a major media / advertising company to facilitate media trading efforts.</w:t>
      </w:r>
    </w:p>
    <w:p>
      <w:pPr>
        <w:pStyle w:val="Normal"/>
        <w:numPr>
          <w:ilvl w:val="0"/>
          <w:numId w:val="8"/>
        </w:numPr>
        <w:tabs>
          <w:tab w:val="clear" w:pos="720"/>
          <w:tab w:val="left" w:pos="1080" w:leader="none"/>
        </w:tabs>
        <w:ind w:hanging="360" w:start="1080" w:end="0"/>
        <w:jc w:val="both"/>
        <w:rPr>
          <w:bCs/>
        </w:rPr>
      </w:pPr>
      <w:r>
        <w:rPr>
          <w:bCs/>
        </w:rPr>
        <w:t>DRAM inventory financing with a major DRAM supplier (Samsung)</w:t>
      </w:r>
    </w:p>
    <w:p>
      <w:pPr>
        <w:pStyle w:val="Normal"/>
        <w:numPr>
          <w:ilvl w:val="0"/>
          <w:numId w:val="8"/>
        </w:numPr>
        <w:tabs>
          <w:tab w:val="clear" w:pos="720"/>
          <w:tab w:val="left" w:pos="1080" w:leader="none"/>
        </w:tabs>
        <w:ind w:hanging="360" w:start="1080" w:end="0"/>
        <w:jc w:val="both"/>
        <w:rPr>
          <w:bCs/>
        </w:rPr>
      </w:pPr>
      <w:r>
        <w:rPr>
          <w:bCs/>
        </w:rPr>
        <w:t>Equipment leasing company to facilitate storage trading.</w:t>
      </w:r>
    </w:p>
    <w:p>
      <w:pPr>
        <w:pStyle w:val="Normal"/>
        <w:numPr>
          <w:ilvl w:val="0"/>
          <w:numId w:val="8"/>
        </w:numPr>
        <w:tabs>
          <w:tab w:val="clear" w:pos="720"/>
          <w:tab w:val="left" w:pos="1080" w:leader="none"/>
        </w:tabs>
        <w:ind w:hanging="360" w:start="1080" w:end="0"/>
        <w:jc w:val="both"/>
        <w:rPr>
          <w:bCs/>
        </w:rPr>
      </w:pPr>
      <w:r>
        <w:rPr>
          <w:bCs/>
        </w:rPr>
        <w:t>Bandwidth trading hubs funding strategy</w:t>
      </w:r>
    </w:p>
    <w:p>
      <w:pPr>
        <w:pStyle w:val="Normal"/>
        <w:jc w:val="both"/>
        <w:rPr>
          <w:b/>
          <w:bCs/>
        </w:rPr>
      </w:pPr>
      <w:r>
        <w:rPr>
          <w:b/>
          <w:bCs/>
        </w:rPr>
      </w:r>
    </w:p>
    <w:p>
      <w:pPr>
        <w:pStyle w:val="Normal"/>
        <w:jc w:val="both"/>
        <w:rPr>
          <w:b/>
        </w:rPr>
      </w:pPr>
      <w:r>
        <w:rPr>
          <w:b/>
        </w:rPr>
        <w:t>Vice President, Global Finance – Corporate Development</w:t>
      </w:r>
    </w:p>
    <w:p>
      <w:pPr>
        <w:pStyle w:val="Normal"/>
        <w:jc w:val="both"/>
        <w:rPr>
          <w:b/>
        </w:rPr>
      </w:pPr>
      <w:r>
        <w:rPr>
          <w:b/>
        </w:rPr>
        <w:t>August 2001 – Present</w:t>
      </w:r>
    </w:p>
    <w:p>
      <w:pPr>
        <w:pStyle w:val="Normal"/>
        <w:jc w:val="both"/>
        <w:rPr>
          <w:b/>
        </w:rPr>
      </w:pPr>
      <w:r>
        <w:rPr>
          <w:b/>
        </w:rPr>
      </w:r>
    </w:p>
    <w:p>
      <w:pPr>
        <w:pStyle w:val="BodyText"/>
        <w:rPr/>
      </w:pPr>
      <w:r>
        <w:rPr>
          <w:b/>
          <w:bCs w:val="false"/>
        </w:rPr>
        <w:t>Project Cosmo</w:t>
      </w:r>
      <w:r>
        <w:rPr/>
        <w:t>:  Identified, structured and plan to close in Q1 2002 a $450 million off balance sheet financing vehicle to (i) leverage Enron’s equity interests in its various international assets and (ii) purchase financial assets from Enron’s Whitewing vehicle.</w:t>
      </w:r>
    </w:p>
    <w:p>
      <w:pPr>
        <w:pStyle w:val="Normal"/>
        <w:jc w:val="both"/>
        <w:rPr>
          <w:b/>
        </w:rPr>
      </w:pPr>
      <w:r>
        <w:rPr>
          <w:b/>
        </w:rPr>
      </w:r>
    </w:p>
    <w:p>
      <w:pPr>
        <w:pStyle w:val="Normal"/>
        <w:jc w:val="both"/>
        <w:rPr/>
      </w:pPr>
      <w:r>
        <w:rPr>
          <w:b/>
        </w:rPr>
        <w:t>Project Bruin</w:t>
      </w:r>
      <w:r>
        <w:rPr>
          <w:bCs/>
        </w:rPr>
        <w:t>:  Identified, structured and plan to close in Q1 2002 a partial sale of Enron’s Brazilian electric utility for $650 million, utilizing a series of equity derivatives.  The transaction will net, after collateral posting, of approximately $400 million in cash, representing “new” balance sheet capacity.  This structure will be utilized for other international asset sales.</w:t>
      </w:r>
    </w:p>
    <w:p>
      <w:pPr>
        <w:pStyle w:val="Normal"/>
        <w:jc w:val="both"/>
        <w:rPr>
          <w:b/>
          <w:bCs/>
        </w:rPr>
      </w:pPr>
      <w:r>
        <w:rPr>
          <w:b/>
          <w:bCs/>
        </w:rPr>
      </w:r>
    </w:p>
    <w:p>
      <w:pPr>
        <w:pStyle w:val="Normal"/>
        <w:jc w:val="both"/>
        <w:rPr>
          <w:b/>
        </w:rPr>
      </w:pPr>
      <w:r>
        <w:rPr>
          <w:b/>
        </w:rPr>
      </w:r>
    </w:p>
    <w:p>
      <w:pPr>
        <w:pStyle w:val="Normal"/>
        <w:jc w:val="both"/>
        <w:rPr>
          <w:b/>
        </w:rPr>
      </w:pPr>
      <w:r>
        <w:rPr>
          <w:b/>
        </w:rPr>
        <w:t>General Comments from Performance Reviews:</w:t>
      </w:r>
    </w:p>
    <w:p>
      <w:pPr>
        <w:pStyle w:val="Normal"/>
        <w:numPr>
          <w:ilvl w:val="0"/>
          <w:numId w:val="11"/>
        </w:numPr>
        <w:jc w:val="both"/>
        <w:rPr/>
      </w:pPr>
      <w:r>
        <w:rPr/>
        <w:t>Great Team Player; Natural ability to lead team</w:t>
      </w:r>
    </w:p>
    <w:p>
      <w:pPr>
        <w:pStyle w:val="Normal"/>
        <w:numPr>
          <w:ilvl w:val="0"/>
          <w:numId w:val="11"/>
        </w:numPr>
        <w:jc w:val="both"/>
        <w:rPr/>
      </w:pPr>
      <w:r>
        <w:rPr/>
        <w:t>Deal productivity and ability to close highly structured transactions</w:t>
      </w:r>
    </w:p>
    <w:p>
      <w:pPr>
        <w:pStyle w:val="Normal"/>
        <w:numPr>
          <w:ilvl w:val="0"/>
          <w:numId w:val="11"/>
        </w:numPr>
        <w:jc w:val="both"/>
        <w:rPr/>
      </w:pPr>
      <w:r>
        <w:rPr/>
        <w:t>Excellent problem solver</w:t>
      </w:r>
    </w:p>
    <w:p>
      <w:pPr>
        <w:pStyle w:val="Normal"/>
        <w:numPr>
          <w:ilvl w:val="0"/>
          <w:numId w:val="11"/>
        </w:numPr>
        <w:jc w:val="both"/>
        <w:rPr/>
      </w:pPr>
      <w:r>
        <w:rPr/>
        <w:t>Outstanding ability to develop and maintain customer relationships.</w:t>
      </w:r>
    </w:p>
    <w:p>
      <w:pPr>
        <w:pStyle w:val="Normal"/>
        <w:numPr>
          <w:ilvl w:val="0"/>
          <w:numId w:val="11"/>
        </w:numPr>
        <w:jc w:val="both"/>
        <w:rPr/>
      </w:pPr>
      <w:r>
        <w:rPr/>
        <w:t>Utilizes all of Enron Corp.’s resources to maximize the value of a transaction</w:t>
      </w:r>
    </w:p>
    <w:p>
      <w:pPr>
        <w:pStyle w:val="Normal"/>
        <w:numPr>
          <w:ilvl w:val="0"/>
          <w:numId w:val="11"/>
        </w:numPr>
        <w:jc w:val="both"/>
        <w:rPr/>
      </w:pPr>
      <w:r>
        <w:rPr/>
        <w:t>Identifies and quantifies risks inherent in transactions</w:t>
      </w:r>
    </w:p>
    <w:p>
      <w:pPr>
        <w:pStyle w:val="Normal"/>
        <w:numPr>
          <w:ilvl w:val="0"/>
          <w:numId w:val="11"/>
        </w:numPr>
        <w:jc w:val="both"/>
        <w:rPr/>
      </w:pPr>
      <w:r>
        <w:rPr/>
        <w:t>Combines commercial, finance, tax and accounting skills to develop creative solutions.</w:t>
      </w:r>
    </w:p>
    <w:p>
      <w:pPr>
        <w:pStyle w:val="Normal"/>
        <w:jc w:val="both"/>
        <w:rPr/>
      </w:pPr>
      <w:r>
        <w:rPr/>
      </w:r>
    </w:p>
    <w:p>
      <w:pPr>
        <w:pStyle w:val="Normal"/>
        <w:jc w:val="both"/>
        <w:rPr/>
      </w:pPr>
      <w:r>
        <w:rPr/>
      </w:r>
    </w:p>
    <w:p>
      <w:pPr>
        <w:pStyle w:val="Normal"/>
        <w:jc w:val="both"/>
        <w:rPr>
          <w:b/>
          <w:bCs/>
        </w:rPr>
      </w:pPr>
      <w:r>
        <w:rPr>
          <w:b/>
          <w:bCs/>
        </w:rPr>
        <w:t>Summary:</w:t>
      </w:r>
    </w:p>
    <w:p>
      <w:pPr>
        <w:pStyle w:val="Normal"/>
        <w:jc w:val="both"/>
        <w:rPr>
          <w:b/>
          <w:bCs/>
        </w:rPr>
      </w:pPr>
      <w:r>
        <w:rPr>
          <w:b/>
          <w:bCs/>
        </w:rPr>
      </w:r>
    </w:p>
    <w:p>
      <w:pPr>
        <w:pStyle w:val="Heading2"/>
        <w:numPr>
          <w:ilvl w:val="0"/>
          <w:numId w:val="2"/>
        </w:numPr>
        <w:rPr/>
      </w:pPr>
      <w:r>
        <w:rPr/>
        <w:t>8 Business Units represented</w:t>
      </w:r>
    </w:p>
    <w:p>
      <w:pPr>
        <w:pStyle w:val="Normal"/>
        <w:numPr>
          <w:ilvl w:val="0"/>
          <w:numId w:val="2"/>
        </w:numPr>
        <w:jc w:val="both"/>
        <w:rPr/>
      </w:pPr>
      <w:r>
        <w:rPr>
          <w:b/>
          <w:bCs/>
        </w:rPr>
        <w:t>Key player in the development of 3 new businesses</w:t>
      </w:r>
      <w:r>
        <w:rPr/>
        <w:t xml:space="preserve"> for Enron (MPC, Enron Europe and EBS)</w:t>
      </w:r>
    </w:p>
    <w:p>
      <w:pPr>
        <w:pStyle w:val="Normal"/>
        <w:numPr>
          <w:ilvl w:val="0"/>
          <w:numId w:val="2"/>
        </w:numPr>
        <w:jc w:val="both"/>
        <w:rPr/>
      </w:pPr>
      <w:r>
        <w:rPr>
          <w:b/>
          <w:bCs/>
        </w:rPr>
        <w:t>Created new business opportunity</w:t>
      </w:r>
      <w:r>
        <w:rPr/>
        <w:t xml:space="preserve"> for Enron (Hanover Measurement Services)</w:t>
      </w:r>
    </w:p>
    <w:p>
      <w:pPr>
        <w:pStyle w:val="Normal"/>
        <w:numPr>
          <w:ilvl w:val="0"/>
          <w:numId w:val="2"/>
        </w:numPr>
        <w:jc w:val="both"/>
        <w:rPr/>
      </w:pPr>
      <w:r>
        <w:rPr>
          <w:b/>
          <w:bCs/>
        </w:rPr>
        <w:t>Generated approximately $500 million in earnings</w:t>
      </w:r>
      <w:r>
        <w:rPr/>
        <w:t xml:space="preserve"> (excluding income benefit for Fair Value re-allocation)</w:t>
      </w:r>
    </w:p>
    <w:p>
      <w:pPr>
        <w:pStyle w:val="Normal"/>
        <w:numPr>
          <w:ilvl w:val="0"/>
          <w:numId w:val="2"/>
        </w:numPr>
        <w:rPr/>
      </w:pPr>
      <w:r>
        <w:rPr>
          <w:b/>
          <w:bCs/>
        </w:rPr>
        <w:t>Generated approximately $3.6 billion in cash flow</w:t>
      </w:r>
      <w:r>
        <w:rPr/>
        <w:t xml:space="preserve"> (including financings, asset sales and monetizations)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both"/>
      <w:outlineLvl w:val="1"/>
    </w:pPr>
    <w:rPr>
      <w:b/>
      <w:bC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2001-10-22T11:47:00Z</dcterms:created>
  <dc:creator>appinst</dc:creator>
  <dc:description/>
  <dc:language>en-CA</dc:language>
  <cp:lastModifiedBy>Kevin Howard</cp:lastModifiedBy>
  <cp:lastPrinted>2001-10-22T16:45:00Z</cp:lastPrinted>
  <dcterms:modified xsi:type="dcterms:W3CDTF">2001-10-22T19:32:00Z</dcterms:modified>
  <cp:revision>59</cp:revision>
  <dc:subject/>
  <dc:title>KEVIN HOWARD</dc:title>
</cp:coreProperties>
</file>