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Heading2"/>
        <w:ind w:hanging="0" w:start="0"/>
        <w:rPr/>
      </w:pPr>
      <w:r>
        <w:rPr/>
        <w:t>PRESERVAR A “ENERGIA VELHA” – SEMENTE PARA NOVOS RACIONAMENTOS *</w:t>
      </w:r>
    </w:p>
    <w:p>
      <w:pPr>
        <w:pStyle w:val="Normal"/>
        <w:jc w:val="center"/>
        <w:rPr/>
      </w:pPr>
      <w:r>
        <w:rPr/>
      </w:r>
    </w:p>
    <w:p>
      <w:pPr>
        <w:pStyle w:val="Heading3"/>
        <w:spacing w:lineRule="auto" w:line="360"/>
        <w:ind w:hanging="0" w:start="720" w:end="68"/>
        <w:rPr/>
      </w:pPr>
      <w:r>
        <w:rPr/>
        <w:t>MINUTA 2.0</w:t>
      </w:r>
    </w:p>
    <w:p>
      <w:pPr>
        <w:pStyle w:val="Normal"/>
        <w:jc w:val="both"/>
        <w:rPr>
          <w:sz w:val="24"/>
        </w:rPr>
      </w:pPr>
      <w:r>
        <w:rPr>
          <w:sz w:val="24"/>
        </w:rPr>
      </w:r>
    </w:p>
    <w:p>
      <w:pPr>
        <w:pStyle w:val="Normal"/>
        <w:jc w:val="both"/>
        <w:rPr>
          <w:sz w:val="24"/>
        </w:rPr>
      </w:pPr>
      <w:r>
        <w:rPr>
          <w:sz w:val="24"/>
        </w:rPr>
        <w:t>Muito tem sido discutido recentemente sobre a conveniência ou não de manter a “liberação” das energias negociadas mediante os Contratos Iniciais, as assim chamadas “energias velhas, permitindo que as mesmas sejam comercializadas a preços e condições livremente pactuadas, já a partir de 2003. Este mecanismo de liberação foi um pilar básico no desenho do novo modelo competitivo para a geração no setor elétrico, o qual está sendo ora questionado. Há um receio, legítimo, de que esta “energia velha”, hoje sendo comercializada a um preço inferior a US$ 25/MWh, venha a ser substituída por “energia nova”, a um preço provável de US$ 35/MWh, aumentando assim o mix de custo de compra por parte das distribuidoras, com incremento da tarifa ao cliente final. Este impacto, quando da plena liberação dos Contratos Iniciais em 2006, pode representar um acréscimo tarifário de 25% nos grandes consumidores industriais e cerca de 10% para os consumidores residenciais. Estes são valores máximos, que não levam em conta o efeito da concorrência em si, tampouco a aplicação do “fator X” sobre as tarifas de fio. Embora inferiores a cifras publicadas recentemente pela imprensa, não se trata de um aumento desprezível.</w:t>
      </w:r>
    </w:p>
    <w:p>
      <w:pPr>
        <w:pStyle w:val="Normal"/>
        <w:ind w:firstLine="720" w:end="0"/>
        <w:jc w:val="both"/>
        <w:rPr>
          <w:sz w:val="24"/>
        </w:rPr>
      </w:pPr>
      <w:r>
        <w:rPr>
          <w:sz w:val="24"/>
        </w:rPr>
      </w:r>
    </w:p>
    <w:p>
      <w:pPr>
        <w:pStyle w:val="Normal"/>
        <w:ind w:firstLine="720" w:end="0"/>
        <w:jc w:val="both"/>
        <w:rPr>
          <w:sz w:val="24"/>
        </w:rPr>
      </w:pPr>
      <w:r>
        <w:rPr>
          <w:sz w:val="24"/>
        </w:rPr>
        <w:t>A ANEEL, legitimamente preocupada em defender os interesses do consumidor e de certa forma reagindo à crise de sub-contratação da Califórnia, acenou recentemente, via  Resolução 22/2001, com a possibilidade de que os volumes de energia liberados via Contratos Iniciais sejam repactuados a tarifas reguladas, ao invés de que os preços sejam determinados pelas condições de oferta e demanda vigentes. Esta proposição está alinhada a uma corrente anti-privatista, que condena a liberação da energia no mercado, sob a alegação de que a energia das plantas depreciadas estaria sendo paga duas vezes pelo consumidor. Mais recentemente, a idéia ganhou a simpatia de importantes autoridades, tais como o ex-Ministro Bresser Pereira, o qual afirma que a reposição de energia velha por energia nova se trata de uma captura de renda “Ricardiana”. Por fim, a última versão do Projeto de Lei 2905, ainda em discussão, corrobora o princípio de que os volumes de energia sob a égide dos Contratos Iniciais continuem sendo regulados pela ANEEL, ao invés de que seus preços sejam determinados pelo mercado. Embora não se conheça ainda o nível das tarifas a serem praticadas, pode-se assumir que há um interesse do regulador em estabelecer patamares inferiores ao de mercado, sem o que toda esta discussão perderia muito de seu sentido.</w:t>
      </w:r>
    </w:p>
    <w:p>
      <w:pPr>
        <w:pStyle w:val="Normal"/>
        <w:ind w:firstLine="720" w:end="0"/>
        <w:jc w:val="both"/>
        <w:rPr>
          <w:sz w:val="24"/>
        </w:rPr>
      </w:pPr>
      <w:r>
        <w:rPr>
          <w:sz w:val="24"/>
        </w:rPr>
      </w:r>
    </w:p>
    <w:p>
      <w:pPr>
        <w:pStyle w:val="Normal"/>
        <w:ind w:firstLine="720" w:end="0"/>
        <w:jc w:val="both"/>
        <w:rPr/>
      </w:pPr>
      <w:r>
        <w:rPr>
          <w:sz w:val="24"/>
        </w:rPr>
        <w:t>O objetivo deste artigo é mostrar a inconveniência de se impedir a plena liberação e livre precificação das energias negociadas sob os Contratos Iniciais, bem como o de desfazer alguns mitos que gravitam em torno desta matéria. Entendemos que a liberação dos Contratos Iniciais é fundamental, não somente para se criar um mercado competitivo, do qual somos forte adeptos, mas também para propiciar geração interna de caixa para a expansão do setor. É irônico e de certa maneira contraditório que estas discussões estejam ocorrendo justamente em um momento de pleno racionamento, causado em parte por um cenário regulatório incompleto, mas principalmente pela incapacidade institucional e financeira do setor elétrico em realizar os vultosos investimentos em geração na velocidade que o mercado tem requerido. Quatro</w:t>
      </w:r>
      <w:r>
        <w:rPr>
          <w:color w:val="FF0000"/>
          <w:sz w:val="24"/>
        </w:rPr>
        <w:t xml:space="preserve"> </w:t>
      </w:r>
      <w:r>
        <w:rPr>
          <w:sz w:val="24"/>
        </w:rPr>
        <w:t>argumentos fortes podem ser colocados para consubstanciar nossa posição.</w:t>
      </w:r>
    </w:p>
    <w:p>
      <w:pPr>
        <w:pStyle w:val="Normal"/>
        <w:ind w:firstLine="720" w:end="0"/>
        <w:jc w:val="both"/>
        <w:rPr>
          <w:sz w:val="24"/>
        </w:rPr>
      </w:pPr>
      <w:r>
        <w:rPr>
          <w:sz w:val="24"/>
        </w:rPr>
      </w:r>
    </w:p>
    <w:p>
      <w:pPr>
        <w:pStyle w:val="Normal"/>
        <w:ind w:firstLine="720" w:end="0"/>
        <w:jc w:val="both"/>
        <w:rPr/>
      </w:pPr>
      <w:r>
        <w:rPr>
          <w:sz w:val="24"/>
        </w:rPr>
        <w:t xml:space="preserve">O </w:t>
      </w:r>
      <w:r>
        <w:rPr>
          <w:sz w:val="24"/>
          <w:u w:val="single"/>
        </w:rPr>
        <w:t>primeiro argumento</w:t>
      </w:r>
      <w:r>
        <w:rPr>
          <w:sz w:val="24"/>
        </w:rPr>
        <w:t xml:space="preserve"> é que a “energia velha”, comercializada pelos Contratos Iniciais, é de fato uma energia “subsidiada”, cujo preço não reflete os custos marginais de expansão, ajustados para os riscos inerentes arcados pelas empresas geradoras. As discussões atuais sobre o Anexo V dos referidos Contratos Iniciais evidenciam, entre outras coisas, que as tarifas pactuadas nos Contratos Iniciais não precificaram adequadamente os riscos de exposição ao mercado, quando da incapacidade física das geradoras “entregarem” os volumes contratuais. Por definição, o risco desta exposição é de 5%.  Os preços hoje sendo discutidos para manter o equilíbrio econômico financeiro das grandes empresas geradoras, levando-se em conta a perda de receita e risco de exposição residual do Anexo V, se aproximam, em muito, do custo marginal de expansão ou do Valor Normativo fixado pela ANEEL.  Estes fatos eram de pleno conhecimento quando da reforma do setor em 1998. A criação dos Contratos Iniciais e a fixação de tarifas era claramente uma medida de transição, para se evitar um possível “choque tarifário”, em um cenário de concorrência limitada.</w:t>
      </w:r>
    </w:p>
    <w:p>
      <w:pPr>
        <w:pStyle w:val="Normal"/>
        <w:ind w:firstLine="720" w:end="0"/>
        <w:jc w:val="both"/>
        <w:rPr>
          <w:sz w:val="24"/>
        </w:rPr>
      </w:pPr>
      <w:r>
        <w:rPr>
          <w:sz w:val="24"/>
        </w:rPr>
      </w:r>
    </w:p>
    <w:p>
      <w:pPr>
        <w:pStyle w:val="Normal"/>
        <w:ind w:firstLine="720" w:end="0"/>
        <w:jc w:val="both"/>
        <w:rPr/>
      </w:pPr>
      <w:r>
        <w:rPr>
          <w:sz w:val="24"/>
        </w:rPr>
        <w:t xml:space="preserve">O </w:t>
      </w:r>
      <w:r>
        <w:rPr>
          <w:sz w:val="24"/>
          <w:u w:val="single"/>
        </w:rPr>
        <w:t>segundo argumento</w:t>
      </w:r>
      <w:r>
        <w:rPr>
          <w:sz w:val="24"/>
        </w:rPr>
        <w:t xml:space="preserve"> é de que não existe uma “renda Ricardiana” sendo capturada pelos proprietários das plantas de geração. Estudos detalhados, desenvolvidos sob a égide do Projeto RE-SEB, mostravam que o custo médio contábil do parque gerador brasileiro, em 1998, era da ordem de US$ 36/MWh.  Este custo foi calculado levando-se em conta uma remuneração [conservadora], sobre os ativos depreciados, de 10% ao ano, e valores de O&amp;M e depreciação reais, com base em dados fornecidos por cada empresa quando da renovação de seus Contratos de Concessão. Esta análise leva a uma conclusão extremamente importante. Existem, de fato, plantas depreciadas, em perfeito estado operacional, gerando a um custo contábil de US$ 5/MWh. Entretanto, existem também plantas como Porto Primavera ou Balbina, com custos contábeis que ultrapassam US$ 200/MWh. Na média, o custo é de US$ 36/MWh, coincidentemente muito similar ao custo marginal de expansão. O argumento da “renda Ricardiana” ou de “windfall profit” conta apenas metade da história, pois toma uma amostra limitada das plantas eficientemente construídas e já depreciadas; esquece entretanto das plantas ineficientemente construídas, altamente “stranded” e com entrada recente em operação. Sem qualquer sombra de dúvida, estas plantas “stranded” devem também ser pagas pelo consumidor, segundo o modelo “tarifa pelo custo” sendo propugnado por aqueles que defendem a volta às tarifas reguladas. Somente em um modelo competitivo o consumidor pode se dar ao luxo de recusar o pagemento por custos “stranded”. Portanto, o “custo” real da energia velha é superior aos preços praticados nos Contratos Iniciais. Obviamente, há um subsídio implícito de US$ 10/MWh no custo da “commodity”, já incorrido pela sociedade brasileira e “escondido” em alguma outra rubrica das finanças públicas. Permitir que o preço se aproxime do custo marginal de expansão, quando da liberação dos Contratos Iniciais, não se constitui em “custo Brasil” como alegado, mas simplesmente em uma alocação correta destes custos a quem de direito: ao consumidor e não ao contribuinte. </w:t>
      </w:r>
    </w:p>
    <w:p>
      <w:pPr>
        <w:pStyle w:val="Normal"/>
        <w:ind w:firstLine="720" w:end="0"/>
        <w:jc w:val="both"/>
        <w:rPr>
          <w:sz w:val="24"/>
        </w:rPr>
      </w:pPr>
      <w:r>
        <w:rPr>
          <w:sz w:val="24"/>
        </w:rPr>
      </w:r>
    </w:p>
    <w:p>
      <w:pPr>
        <w:pStyle w:val="Normal"/>
        <w:ind w:firstLine="720" w:end="0"/>
        <w:jc w:val="both"/>
        <w:rPr/>
      </w:pPr>
      <w:r>
        <w:rPr>
          <w:sz w:val="24"/>
        </w:rPr>
        <w:t xml:space="preserve">O </w:t>
      </w:r>
      <w:r>
        <w:rPr>
          <w:sz w:val="24"/>
          <w:u w:val="single"/>
        </w:rPr>
        <w:t>terceiro argumento</w:t>
      </w:r>
      <w:r>
        <w:rPr>
          <w:sz w:val="24"/>
        </w:rPr>
        <w:t xml:space="preserve"> diz respeito à criação de um mercado competitivo em geração, o que acreditamos é uma pedra basilar do novo modelo e uma necessidade para aumentar a eficiência justamente na área mais capital intensiva do setor elétrico. “Frear” a liberação dos Contratos Iniciais significa não precificar a maior parte da energia hoje comercializada no Brasil segundo as forças de mercado, distorcendo assim as decisões de consumo, contratação e expansão. Em tese, seria até possível conceber um mercado híbrido, onde co-existissem energias “perfeitamente reguladas” e energias com preços determinado por regras de mercado, e no qual a competição fosse introduzida na “margem”. Embora não houvesse plena racionalidade no lado do consumo, causada por um mix de preço distorcido, poder-se-ia otimisticamente conceber racionalidade no lado da contratação e expansão, desde que os mercados não se contaminassem mutuamente. Entretanto, somos céticos quanto à esta “barreira chinesa” entre os dois mercados. Cedo ou tarde, poderiam ocorrer arbitragens não econômicas entre o mercado “regulado” e o mercado livre, distorcendo as decisões neste último. Uma possibilidade de arbitragem foi recentemente aventada quando das discussões no âmbito da Audiência Pública 010/99 da ANEEL, ao ser proposta a opção de retratação ao consumidor livre. Assim como esta, entendemos que outras formas de contaminação regulatória perversa podem ocorrer, impossibilitando a criação de um mercado competitivo de energia “na margem”. Isto pode ter o efeito negativo de desestimular novos investimentos privados em geração. A regulação de um grande bloco de energia (cerca de 80% da existente) continuanto a ter tarifa regulada representa um risco e desestímulo a novos investimentos pela ameaça que o mesmo representat para a competição e conquista de clientes livres, também um dos pilares do novo modelo.</w:t>
      </w:r>
    </w:p>
    <w:p>
      <w:pPr>
        <w:pStyle w:val="Normal"/>
        <w:ind w:firstLine="720" w:end="0"/>
        <w:jc w:val="both"/>
        <w:rPr>
          <w:sz w:val="24"/>
        </w:rPr>
      </w:pPr>
      <w:r>
        <w:rPr>
          <w:sz w:val="24"/>
        </w:rPr>
      </w:r>
    </w:p>
    <w:p>
      <w:pPr>
        <w:pStyle w:val="Normal"/>
        <w:ind w:firstLine="720" w:end="0"/>
        <w:jc w:val="both"/>
        <w:rPr/>
      </w:pPr>
      <w:r>
        <w:rPr>
          <w:sz w:val="24"/>
        </w:rPr>
        <w:t xml:space="preserve">O </w:t>
      </w:r>
      <w:r>
        <w:rPr>
          <w:sz w:val="24"/>
          <w:u w:val="single"/>
        </w:rPr>
        <w:t>quarto argumento,</w:t>
      </w:r>
      <w:r>
        <w:rPr>
          <w:sz w:val="24"/>
        </w:rPr>
        <w:t xml:space="preserve"> e talvez o mais importante, tem a ver com a capacidade de geração interna de caixa das empresas geradoras, propiciando assim a realização de novos investimentos, desesperadamente necessários. Não permitir que as energias liberadas pelos Contratos Iniciais sejam comercializadas a preços livres, estabelecendo-se “tarifas” provavelmente a níveis inferiores aos preços de mercado no atacado, é limitar a capacidade de investimento das empresas, bem como induzir ao uso desperdiçado de energia. Não há aqui qualquer consideração de natureza ideológica. O argumento é robusto estejam as grandes geradoras em mãos do governo ou sejam elas privatizadas. Esta “pretensa” proteção ao consumidor, ainda que com os mais nobres propósitos, é o talvez o ingrediente mais importante que tenha levado à atual crise de racionamento. </w:t>
      </w:r>
    </w:p>
    <w:p>
      <w:pPr>
        <w:pStyle w:val="Normal"/>
        <w:ind w:firstLine="720" w:end="0"/>
        <w:jc w:val="both"/>
        <w:rPr>
          <w:sz w:val="24"/>
        </w:rPr>
      </w:pPr>
      <w:r>
        <w:rPr>
          <w:sz w:val="24"/>
        </w:rPr>
      </w:r>
    </w:p>
    <w:p>
      <w:pPr>
        <w:pStyle w:val="Normal"/>
        <w:ind w:firstLine="720" w:end="0"/>
        <w:jc w:val="both"/>
        <w:rPr>
          <w:sz w:val="24"/>
        </w:rPr>
      </w:pPr>
      <w:r>
        <w:rPr>
          <w:sz w:val="24"/>
        </w:rPr>
        <w:t>Em suma, manter a energia velha por mais tempo, distorcendo preços e isolando o consumidor da realidade de mercado, significa a viloação do atual modelo do setor e a consequente migração para outro modelo cujos contornos são desconhecidos. Tem ainda o efeito perverso de limitar a capacidade de geração de recursos internos para novos investimentos. É uma atitude paternalista, que se constitui em mistura perigosa e explosiva,  já bem conhecida do setor elétrico brasileiro. Quantos racionamentos serão ainda necessários para aprendermos um cliché básico, até já bastante desgastado, de que a energia mais cara é a de que não dispomos?  Onde fica a real defesa dos interesses de longo prazo do consumidor?</w:t>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r>
    </w:p>
    <w:p>
      <w:pPr>
        <w:pStyle w:val="Normal"/>
        <w:jc w:val="both"/>
        <w:rPr>
          <w:sz w:val="24"/>
        </w:rPr>
      </w:pPr>
      <w:r>
        <w:rPr>
          <w:sz w:val="24"/>
        </w:rPr>
        <w:t>* ABRACEEL – Associação Brasileira dos Agentes Comercializadores de Energia Elétrica</w:t>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r>
    </w:p>
    <w:sectPr>
      <w:type w:val="nextPage"/>
      <w:pgSz w:w="11906" w:h="16838"/>
      <w:pgMar w:left="900" w:right="1017" w:gutter="0" w:header="0" w:top="677" w:footer="0" w:bottom="12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jc w:val="center"/>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2001-06-21T07:41:00Z</dcterms:created>
  <dc:creator>Enron</dc:creator>
  <dc:description/>
  <dc:language>en-CA</dc:language>
  <cp:lastModifiedBy>Enron</cp:lastModifiedBy>
  <cp:lastPrinted>2001-06-26T11:35:00Z</cp:lastPrinted>
  <dcterms:modified xsi:type="dcterms:W3CDTF">2001-06-26T12:05:00Z</dcterms:modified>
  <cp:revision>9</cp:revision>
  <dc:subject/>
  <dc:title>ENERGIA VELHA VERSUS ENERGIA NOVA – O DEBATE CONTINUA</dc:title>
</cp:coreProperties>
</file>