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ONLY – NOT FOR EXTERNAL DISTRIBUTION</w:t>
      </w:r>
    </w:p>
    <w:p>
      <w:pPr>
        <w:pStyle w:val="Heading2"/>
        <w:ind w:hanging="0" w:start="0"/>
        <w:rPr/>
      </w:pPr>
      <w:r>
        <w:rPr/>
        <w:t>Situation Analysis</w:t>
      </w:r>
    </w:p>
    <w:p>
      <w:pPr>
        <w:pStyle w:val="Normal"/>
        <w:rPr>
          <w:b/>
          <w:bCs/>
          <w:sz w:val="24"/>
        </w:rPr>
      </w:pPr>
      <w:r>
        <w:rPr>
          <w:b/>
          <w:bCs/>
          <w:sz w:val="24"/>
        </w:rPr>
      </w:r>
    </w:p>
    <w:p>
      <w:pPr>
        <w:pStyle w:val="Normal"/>
        <w:rPr>
          <w:sz w:val="24"/>
        </w:rPr>
      </w:pPr>
      <w:r>
        <w:rPr>
          <w:sz w:val="24"/>
        </w:rPr>
        <w:t>Recent events at Enron have caused:</w:t>
      </w:r>
    </w:p>
    <w:p>
      <w:pPr>
        <w:pStyle w:val="Normal"/>
        <w:rPr>
          <w:sz w:val="24"/>
        </w:rPr>
      </w:pPr>
      <w:r>
        <w:rPr>
          <w:sz w:val="24"/>
        </w:rPr>
      </w:r>
    </w:p>
    <w:p>
      <w:pPr>
        <w:pStyle w:val="Normal"/>
        <w:numPr>
          <w:ilvl w:val="0"/>
          <w:numId w:val="2"/>
        </w:numPr>
        <w:rPr>
          <w:sz w:val="24"/>
        </w:rPr>
      </w:pPr>
      <w:r>
        <w:rPr>
          <w:sz w:val="24"/>
        </w:rPr>
        <w:t xml:space="preserve">An erosion of market capitalization;   </w:t>
      </w:r>
    </w:p>
    <w:p>
      <w:pPr>
        <w:pStyle w:val="Normal"/>
        <w:numPr>
          <w:ilvl w:val="0"/>
          <w:numId w:val="2"/>
        </w:numPr>
        <w:rPr>
          <w:sz w:val="24"/>
        </w:rPr>
      </w:pPr>
      <w:r>
        <w:rPr>
          <w:sz w:val="24"/>
        </w:rPr>
        <w:t>Increased scrutiny of overall company practices;</w:t>
      </w:r>
    </w:p>
    <w:p>
      <w:pPr>
        <w:pStyle w:val="Normal"/>
        <w:numPr>
          <w:ilvl w:val="0"/>
          <w:numId w:val="2"/>
        </w:numPr>
        <w:rPr>
          <w:sz w:val="24"/>
        </w:rPr>
      </w:pPr>
      <w:r>
        <w:rPr>
          <w:sz w:val="24"/>
        </w:rPr>
        <w:t>Concern over the company’s ability to meet its debt obligations;</w:t>
      </w:r>
    </w:p>
    <w:p>
      <w:pPr>
        <w:pStyle w:val="Normal"/>
        <w:numPr>
          <w:ilvl w:val="0"/>
          <w:numId w:val="2"/>
        </w:numPr>
        <w:rPr>
          <w:sz w:val="24"/>
        </w:rPr>
      </w:pPr>
      <w:r>
        <w:rPr>
          <w:sz w:val="24"/>
        </w:rPr>
        <w:t>Concern over the company’s ability to complete the merger with Dynegy;</w:t>
      </w:r>
    </w:p>
    <w:p>
      <w:pPr>
        <w:pStyle w:val="Normal"/>
        <w:numPr>
          <w:ilvl w:val="0"/>
          <w:numId w:val="2"/>
        </w:numPr>
        <w:rPr>
          <w:sz w:val="24"/>
        </w:rPr>
      </w:pPr>
      <w:r>
        <w:rPr>
          <w:sz w:val="24"/>
        </w:rPr>
        <w:t>Lost credibility for company management;</w:t>
      </w:r>
    </w:p>
    <w:p>
      <w:pPr>
        <w:pStyle w:val="Normal"/>
        <w:numPr>
          <w:ilvl w:val="0"/>
          <w:numId w:val="2"/>
        </w:numPr>
        <w:rPr>
          <w:sz w:val="24"/>
        </w:rPr>
      </w:pPr>
      <w:r>
        <w:rPr>
          <w:sz w:val="24"/>
        </w:rPr>
        <w:t>An overall perception that the company is in crisis.</w:t>
      </w:r>
    </w:p>
    <w:p>
      <w:pPr>
        <w:pStyle w:val="Normal"/>
        <w:rPr>
          <w:sz w:val="24"/>
        </w:rPr>
      </w:pPr>
      <w:r>
        <w:rPr>
          <w:sz w:val="24"/>
        </w:rPr>
      </w:r>
    </w:p>
    <w:p>
      <w:pPr>
        <w:pStyle w:val="Normal"/>
        <w:rPr>
          <w:sz w:val="24"/>
        </w:rPr>
      </w:pPr>
      <w:r>
        <w:rPr>
          <w:sz w:val="24"/>
        </w:rPr>
      </w:r>
    </w:p>
    <w:p>
      <w:pPr>
        <w:pStyle w:val="Normal"/>
        <w:rPr>
          <w:sz w:val="24"/>
        </w:rPr>
      </w:pPr>
      <w:r>
        <w:rPr>
          <w:sz w:val="24"/>
        </w:rPr>
        <w:t>The recent lawsuits  have increased public scrutiny and threaten to further damage the company.  Why?</w:t>
      </w:r>
    </w:p>
    <w:p>
      <w:pPr>
        <w:pStyle w:val="Normal"/>
        <w:rPr>
          <w:sz w:val="24"/>
        </w:rPr>
      </w:pPr>
      <w:r>
        <w:rPr>
          <w:sz w:val="24"/>
        </w:rPr>
      </w:r>
    </w:p>
    <w:p>
      <w:pPr>
        <w:pStyle w:val="Normal"/>
        <w:numPr>
          <w:ilvl w:val="0"/>
          <w:numId w:val="4"/>
        </w:numPr>
        <w:rPr>
          <w:sz w:val="24"/>
        </w:rPr>
      </w:pPr>
      <w:r>
        <w:rPr>
          <w:sz w:val="24"/>
        </w:rPr>
        <w:t xml:space="preserve">Articles in publications including the </w:t>
      </w:r>
      <w:r>
        <w:rPr>
          <w:i/>
          <w:iCs/>
          <w:sz w:val="24"/>
        </w:rPr>
        <w:t>Wall Street Journal</w:t>
      </w:r>
      <w:r>
        <w:rPr>
          <w:sz w:val="24"/>
        </w:rPr>
        <w:t xml:space="preserve"> and </w:t>
      </w:r>
      <w:r>
        <w:rPr>
          <w:i/>
          <w:iCs/>
          <w:sz w:val="24"/>
        </w:rPr>
        <w:t>The New York Times</w:t>
      </w:r>
      <w:r>
        <w:rPr>
          <w:sz w:val="24"/>
        </w:rPr>
        <w:t xml:space="preserve"> paint an unfavorable and unfair picture of the Company’s decision-making during an already difficult period;</w:t>
      </w:r>
    </w:p>
    <w:p>
      <w:pPr>
        <w:pStyle w:val="Normal"/>
        <w:ind w:start="1080" w:end="0"/>
        <w:rPr>
          <w:sz w:val="24"/>
        </w:rPr>
      </w:pPr>
      <w:r>
        <w:rPr>
          <w:sz w:val="24"/>
        </w:rPr>
        <w:t xml:space="preserve"> </w:t>
      </w:r>
    </w:p>
    <w:p>
      <w:pPr>
        <w:pStyle w:val="Normal"/>
        <w:numPr>
          <w:ilvl w:val="0"/>
          <w:numId w:val="4"/>
        </w:numPr>
        <w:rPr>
          <w:sz w:val="24"/>
        </w:rPr>
      </w:pPr>
      <w:r>
        <w:rPr>
          <w:sz w:val="24"/>
        </w:rPr>
        <w:t xml:space="preserve">Today’s </w:t>
      </w:r>
      <w:r>
        <w:rPr>
          <w:i/>
          <w:iCs/>
          <w:sz w:val="24"/>
        </w:rPr>
        <w:t>Dow Jones</w:t>
      </w:r>
      <w:r>
        <w:rPr>
          <w:sz w:val="24"/>
        </w:rPr>
        <w:t xml:space="preserve"> article references a potential $850 million legal liability – and it is only one suit – yes, the number is inflated but certainly doesn’t help with analysts, employees, investors and the media; </w:t>
      </w:r>
    </w:p>
    <w:p>
      <w:pPr>
        <w:pStyle w:val="Normal"/>
        <w:rPr>
          <w:sz w:val="24"/>
        </w:rPr>
      </w:pPr>
      <w:r>
        <w:rPr>
          <w:sz w:val="24"/>
        </w:rPr>
      </w:r>
    </w:p>
    <w:p>
      <w:pPr>
        <w:pStyle w:val="Normal"/>
        <w:numPr>
          <w:ilvl w:val="0"/>
          <w:numId w:val="4"/>
        </w:numPr>
        <w:rPr>
          <w:sz w:val="24"/>
        </w:rPr>
      </w:pPr>
      <w:r>
        <w:rPr>
          <w:sz w:val="24"/>
        </w:rPr>
        <w:t xml:space="preserve">2001 data from Opinion Research Corporation indicates that: </w:t>
      </w:r>
    </w:p>
    <w:p>
      <w:pPr>
        <w:pStyle w:val="Normal"/>
        <w:numPr>
          <w:ilvl w:val="1"/>
          <w:numId w:val="4"/>
        </w:numPr>
        <w:rPr>
          <w:sz w:val="24"/>
        </w:rPr>
      </w:pPr>
      <w:r>
        <w:rPr>
          <w:sz w:val="24"/>
        </w:rPr>
        <w:t>51% of the public believe a corporation is guilty if it responds with the phrase “no comment”</w:t>
      </w:r>
    </w:p>
    <w:p>
      <w:pPr>
        <w:pStyle w:val="Normal"/>
        <w:numPr>
          <w:ilvl w:val="1"/>
          <w:numId w:val="4"/>
        </w:numPr>
        <w:rPr>
          <w:sz w:val="24"/>
        </w:rPr>
      </w:pPr>
      <w:r>
        <w:rPr>
          <w:sz w:val="24"/>
        </w:rPr>
        <w:t>54% of the public say they would consider selling stock in a company accused of wrongdoing in a lawsuit;</w:t>
      </w:r>
    </w:p>
    <w:p>
      <w:pPr>
        <w:pStyle w:val="Normal"/>
        <w:ind w:start="1800" w:end="0"/>
        <w:rPr>
          <w:sz w:val="24"/>
        </w:rPr>
      </w:pPr>
      <w:r>
        <w:rPr>
          <w:sz w:val="24"/>
        </w:rPr>
      </w:r>
    </w:p>
    <w:p>
      <w:pPr>
        <w:pStyle w:val="Normal"/>
        <w:numPr>
          <w:ilvl w:val="0"/>
          <w:numId w:val="4"/>
        </w:numPr>
        <w:rPr>
          <w:sz w:val="24"/>
        </w:rPr>
      </w:pPr>
      <w:r>
        <w:rPr>
          <w:sz w:val="24"/>
        </w:rPr>
        <w:t>A highly quantitative 1998 University of Chicago Law School study conducted by an economist and law professor – hardly “PR types” – concluded that:</w:t>
      </w:r>
    </w:p>
    <w:p>
      <w:pPr>
        <w:pStyle w:val="Normal"/>
        <w:ind w:start="1080" w:end="0"/>
        <w:rPr>
          <w:sz w:val="24"/>
        </w:rPr>
      </w:pPr>
      <w:r>
        <w:rPr>
          <w:sz w:val="24"/>
        </w:rPr>
      </w:r>
    </w:p>
    <w:p>
      <w:pPr>
        <w:pStyle w:val="Normal"/>
        <w:ind w:start="2160" w:end="0"/>
        <w:rPr>
          <w:sz w:val="24"/>
        </w:rPr>
      </w:pPr>
      <w:r>
        <w:rPr>
          <w:sz w:val="24"/>
        </w:rPr>
        <w:t>“</w:t>
      </w:r>
      <w:r>
        <w:rPr>
          <w:sz w:val="24"/>
        </w:rPr>
        <w:t>The results imply that publicity about lawsuits is associated with declines in the (market) values of defendant companies.  Our estimates suggest that the reputational costs of punitive lawsuits can be substantial.  If investors are aware of the lawsuit, the implied reputational cost is much higher.”</w:t>
      </w:r>
    </w:p>
    <w:p>
      <w:pPr>
        <w:pStyle w:val="Normal"/>
        <w:rPr>
          <w:sz w:val="24"/>
        </w:rPr>
      </w:pPr>
      <w:r>
        <w:rPr>
          <w:sz w:val="24"/>
        </w:rPr>
      </w:r>
    </w:p>
    <w:p>
      <w:pPr>
        <w:pStyle w:val="Normal"/>
        <w:rPr>
          <w:sz w:val="24"/>
        </w:rPr>
      </w:pPr>
      <w:r>
        <w:rPr>
          <w:sz w:val="24"/>
        </w:rPr>
      </w:r>
    </w:p>
    <w:p>
      <w:pPr>
        <w:pStyle w:val="Normal"/>
        <w:rPr>
          <w:sz w:val="24"/>
        </w:rPr>
      </w:pPr>
      <w:r>
        <w:rPr>
          <w:sz w:val="24"/>
        </w:rPr>
        <w:t xml:space="preserve">While litigation is likely at least a year away, the threat to Enron’s credibility, reputation and market capitalization is immediate.  Having worked for more than fifty Fortune 500 corporations on litigation issues (including New York Life on ERISA litigation), we believe it is imperative to respond – even if in a limited manner –  to protect the company’s overall business interests. </w:t>
      </w:r>
      <w:r>
        <w:br w:type="page"/>
      </w:r>
    </w:p>
    <w:p>
      <w:pPr>
        <w:pStyle w:val="Normal"/>
        <w:rPr>
          <w:b/>
          <w:bCs/>
          <w:sz w:val="24"/>
        </w:rPr>
      </w:pPr>
      <w:r>
        <w:rPr>
          <w:b/>
          <w:bCs/>
          <w:sz w:val="24"/>
        </w:rPr>
        <w:t>DRAFT ONLY – POTENTIAL EXTERNAL STATEMENTS</w:t>
      </w:r>
    </w:p>
    <w:p>
      <w:pPr>
        <w:pStyle w:val="Normal"/>
        <w:rPr>
          <w:b/>
          <w:bCs/>
          <w:sz w:val="24"/>
        </w:rPr>
      </w:pPr>
      <w:r>
        <w:rPr>
          <w:b/>
          <w:bCs/>
          <w:sz w:val="24"/>
        </w:rPr>
      </w:r>
    </w:p>
    <w:p>
      <w:pPr>
        <w:pStyle w:val="BodyText"/>
        <w:rPr/>
      </w:pPr>
      <w:r>
        <w:rPr/>
        <w:t>We envision disseminating some version of the statement below on a reactive basis only – that is, when the media call and request comment we could send them a sheet with this information.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bCs/>
          <w:sz w:val="24"/>
          <w:u w:val="single"/>
        </w:rPr>
      </w:pPr>
      <w:r>
        <w:rPr>
          <w:b/>
          <w:bCs/>
          <w:sz w:val="24"/>
          <w:u w:val="single"/>
        </w:rPr>
        <w:t>401k Suits</w:t>
      </w:r>
    </w:p>
    <w:p>
      <w:pPr>
        <w:pStyle w:val="Normal"/>
        <w:rPr>
          <w:b/>
          <w:bCs/>
          <w:sz w:val="24"/>
          <w:u w:val="single"/>
        </w:rPr>
      </w:pPr>
      <w:r>
        <w:rPr>
          <w:b/>
          <w:bCs/>
          <w:sz w:val="24"/>
          <w:u w:val="single"/>
        </w:rPr>
      </w:r>
    </w:p>
    <w:p>
      <w:pPr>
        <w:pStyle w:val="BodyText"/>
        <w:rPr/>
      </w:pPr>
      <w:r>
        <w:rPr/>
        <w:t>While Enron prefers not to litigate issues in the press, we understand your need to provide balanced information to your readers.  Here are a few facts about the 401k litigation and two quotations attributable to XXXXX if you need it for your story.</w:t>
      </w:r>
    </w:p>
    <w:p>
      <w:pPr>
        <w:pStyle w:val="Normal"/>
        <w:rPr>
          <w:sz w:val="24"/>
        </w:rPr>
      </w:pPr>
      <w:r>
        <w:rPr>
          <w:sz w:val="24"/>
        </w:rPr>
      </w:r>
    </w:p>
    <w:p>
      <w:pPr>
        <w:pStyle w:val="Normal"/>
        <w:numPr>
          <w:ilvl w:val="0"/>
          <w:numId w:val="3"/>
        </w:numPr>
        <w:rPr>
          <w:sz w:val="24"/>
        </w:rPr>
      </w:pPr>
      <w:r>
        <w:rPr>
          <w:sz w:val="24"/>
          <w:szCs w:val="24"/>
          <w:lang w:val="en-US"/>
        </w:rPr>
        <w:t>Enron had been contemplating a change in plan administrators since 1997.  Plans were stalled due to a moratorium on administrator changes as a condition of the PGE acquisition.</w:t>
      </w:r>
    </w:p>
    <w:p>
      <w:pPr>
        <w:pStyle w:val="Normal"/>
        <w:numPr>
          <w:ilvl w:val="0"/>
          <w:numId w:val="3"/>
        </w:numPr>
        <w:rPr>
          <w:sz w:val="24"/>
        </w:rPr>
      </w:pPr>
      <w:r>
        <w:rPr>
          <w:sz w:val="24"/>
        </w:rPr>
        <w:t xml:space="preserve">Enron requested proposals from alternate plan administrators in </w:t>
      </w:r>
      <w:r>
        <w:rPr>
          <w:i/>
          <w:iCs/>
          <w:sz w:val="24"/>
        </w:rPr>
        <w:t>February of 2001</w:t>
      </w:r>
      <w:r>
        <w:rPr>
          <w:sz w:val="24"/>
        </w:rPr>
        <w:t xml:space="preserve"> -- </w:t>
      </w:r>
      <w:r>
        <w:rPr>
          <w:sz w:val="24"/>
          <w:u w:val="single"/>
        </w:rPr>
        <w:t>in writing</w:t>
      </w:r>
      <w:r>
        <w:rPr>
          <w:sz w:val="24"/>
        </w:rPr>
        <w:t>.</w:t>
      </w:r>
    </w:p>
    <w:p>
      <w:pPr>
        <w:pStyle w:val="Normal"/>
        <w:numPr>
          <w:ilvl w:val="0"/>
          <w:numId w:val="3"/>
        </w:numPr>
        <w:rPr>
          <w:sz w:val="24"/>
        </w:rPr>
      </w:pPr>
      <w:r>
        <w:rPr>
          <w:sz w:val="24"/>
        </w:rPr>
        <w:t xml:space="preserve">In </w:t>
      </w:r>
      <w:r>
        <w:rPr>
          <w:i/>
          <w:iCs/>
          <w:sz w:val="24"/>
        </w:rPr>
        <w:t>May of 2001, t</w:t>
      </w:r>
      <w:r>
        <w:rPr>
          <w:sz w:val="24"/>
        </w:rPr>
        <w:t xml:space="preserve">he new administrator (Hewitt) was notified – </w:t>
      </w:r>
      <w:r>
        <w:rPr>
          <w:sz w:val="24"/>
          <w:u w:val="single"/>
        </w:rPr>
        <w:t>in writing</w:t>
      </w:r>
      <w:r>
        <w:rPr>
          <w:sz w:val="24"/>
        </w:rPr>
        <w:t xml:space="preserve"> – of our intent to start our business relationship beginning in October of 2001.   </w:t>
      </w:r>
    </w:p>
    <w:p>
      <w:pPr>
        <w:pStyle w:val="Normal"/>
        <w:numPr>
          <w:ilvl w:val="0"/>
          <w:numId w:val="3"/>
        </w:numPr>
        <w:rPr>
          <w:sz w:val="24"/>
        </w:rPr>
      </w:pPr>
      <w:r>
        <w:rPr>
          <w:sz w:val="24"/>
        </w:rPr>
        <w:t>The transition period (when employees could not sell stock), ran from only October 26</w:t>
      </w:r>
      <w:r>
        <w:rPr>
          <w:sz w:val="24"/>
          <w:vertAlign w:val="superscript"/>
        </w:rPr>
        <w:t>th</w:t>
      </w:r>
      <w:r>
        <w:rPr>
          <w:sz w:val="24"/>
        </w:rPr>
        <w:t xml:space="preserve"> to November 13</w:t>
      </w:r>
      <w:r>
        <w:rPr>
          <w:sz w:val="24"/>
          <w:vertAlign w:val="superscript"/>
        </w:rPr>
        <w:t>th</w:t>
      </w:r>
      <w:r>
        <w:rPr>
          <w:sz w:val="24"/>
        </w:rPr>
        <w:t xml:space="preserve"> – a shorter time span than was originally planned.</w:t>
      </w:r>
    </w:p>
    <w:p>
      <w:pPr>
        <w:pStyle w:val="Normal"/>
        <w:numPr>
          <w:ilvl w:val="0"/>
          <w:numId w:val="3"/>
        </w:numPr>
        <w:rPr>
          <w:sz w:val="24"/>
        </w:rPr>
      </w:pPr>
      <w:r>
        <w:rPr>
          <w:sz w:val="24"/>
        </w:rPr>
        <w:t>During the transition period Enron’s stock went from $15.40 to $9.98 – while we’re not happy about the reduced share price, the magnitude of the decline during the lock down period is much smaller than the drop alleged by some plaintiffs attorneys.</w:t>
      </w:r>
    </w:p>
    <w:p>
      <w:pPr>
        <w:pStyle w:val="Normal"/>
        <w:numPr>
          <w:ilvl w:val="0"/>
          <w:numId w:val="3"/>
        </w:numPr>
        <w:rPr>
          <w:sz w:val="24"/>
          <w:szCs w:val="24"/>
          <w:lang w:val="en-US"/>
        </w:rPr>
      </w:pPr>
      <w:r>
        <w:rPr>
          <w:sz w:val="24"/>
          <w:szCs w:val="24"/>
          <w:lang w:val="en-US"/>
        </w:rPr>
        <w:t>401K participants have the option to choose between [17] different stocks, including Enron.</w:t>
      </w:r>
    </w:p>
    <w:p>
      <w:pPr>
        <w:pStyle w:val="Normal"/>
        <w:rPr>
          <w:sz w:val="24"/>
        </w:rPr>
      </w:pPr>
      <w:r>
        <w:rPr>
          <w:sz w:val="24"/>
        </w:rPr>
        <w:t xml:space="preserve">  </w:t>
      </w:r>
    </w:p>
    <w:p>
      <w:pPr>
        <w:pStyle w:val="Normal"/>
        <w:rPr>
          <w:sz w:val="24"/>
        </w:rPr>
      </w:pPr>
      <w:r>
        <w:rPr>
          <w:sz w:val="24"/>
        </w:rPr>
      </w:r>
    </w:p>
    <w:p>
      <w:pPr>
        <w:pStyle w:val="Normal"/>
        <w:rPr/>
      </w:pPr>
      <w:r>
        <w:rPr>
          <w:sz w:val="24"/>
        </w:rPr>
        <w:t>“</w:t>
      </w:r>
      <w:r>
        <w:rPr>
          <w:sz w:val="24"/>
        </w:rPr>
        <w:t xml:space="preserve">While we sympathize with the financial loss that many of our employees experienced, the facts prove that the decision and timing on changing our plan administrator was made more than six months </w:t>
      </w:r>
      <w:r>
        <w:rPr>
          <w:i/>
          <w:iCs/>
          <w:sz w:val="24"/>
        </w:rPr>
        <w:t>prior</w:t>
      </w:r>
      <w:r>
        <w:rPr>
          <w:sz w:val="24"/>
        </w:rPr>
        <w:t xml:space="preserve"> to any significant downturn in our stock price.” </w:t>
      </w:r>
    </w:p>
    <w:p>
      <w:pPr>
        <w:pStyle w:val="Normal"/>
        <w:rPr>
          <w:sz w:val="24"/>
        </w:rPr>
      </w:pPr>
      <w:r>
        <w:rPr>
          <w:sz w:val="24"/>
        </w:rPr>
      </w:r>
    </w:p>
    <w:p>
      <w:pPr>
        <w:pStyle w:val="BodyText"/>
        <w:rPr/>
      </w:pPr>
      <w:r>
        <w:rPr/>
        <w:t>“</w:t>
      </w:r>
      <w:r>
        <w:rPr/>
        <w:t>The evidence presented in court will prove this was an example of nothing more than unfortunate timing.  Because of this, we will vigorously defend the Company in these suits.  In short, the decision to change providers was unrelated to financial events at the company.”</w:t>
      </w:r>
      <w:r>
        <w:br w:type="page"/>
      </w:r>
    </w:p>
    <w:p>
      <w:pPr>
        <w:pStyle w:val="Heading1"/>
        <w:ind w:hanging="0" w:start="0"/>
        <w:rPr/>
      </w:pPr>
      <w:r>
        <w:rPr/>
        <w:t>EMPLOYEE LETTER – DRAFT # 1  – NOT FOR DISTRIBUTION</w:t>
      </w:r>
    </w:p>
    <w:p>
      <w:pPr>
        <w:pStyle w:val="Normal"/>
        <w:rPr>
          <w:lang w:val="en-US"/>
        </w:rPr>
      </w:pPr>
      <w:r>
        <w:rPr>
          <w:lang w:val="en-US"/>
        </w:rPr>
      </w:r>
    </w:p>
    <w:p>
      <w:pPr>
        <w:pStyle w:val="Normal"/>
        <w:rPr>
          <w:lang w:val="en-US"/>
        </w:rPr>
      </w:pPr>
      <w:r>
        <w:rPr>
          <w:lang w:val="en-US"/>
        </w:rPr>
        <w:t>Dear [INSERT NAME]:</w:t>
      </w:r>
    </w:p>
    <w:p>
      <w:pPr>
        <w:pStyle w:val="Normal"/>
        <w:rPr>
          <w:lang w:val="en-US"/>
        </w:rPr>
      </w:pPr>
      <w:r>
        <w:rPr>
          <w:lang w:val="en-US"/>
        </w:rPr>
      </w:r>
    </w:p>
    <w:p>
      <w:pPr>
        <w:pStyle w:val="Normal"/>
        <w:rPr>
          <w:lang w:val="en-US"/>
        </w:rPr>
      </w:pPr>
      <w:r>
        <w:rPr>
          <w:lang w:val="en-US"/>
        </w:rPr>
        <w:t>I want to address concerns you may have about our 401(k) retirement plan and provide you with a number of facts surrounding the plan and recent changes.</w:t>
      </w:r>
    </w:p>
    <w:p>
      <w:pPr>
        <w:pStyle w:val="Normal"/>
        <w:rPr>
          <w:lang w:val="en-US"/>
        </w:rPr>
      </w:pPr>
      <w:r>
        <w:rPr>
          <w:lang w:val="en-US"/>
        </w:rPr>
      </w:r>
    </w:p>
    <w:p>
      <w:pPr>
        <w:pStyle w:val="Normal"/>
        <w:rPr>
          <w:lang w:val="en-US"/>
        </w:rPr>
      </w:pPr>
      <w:r>
        <w:rPr>
          <w:lang w:val="en-US"/>
        </w:rPr>
        <w:t xml:space="preserve">I know you are concerned about your retirement savings and that many of you have suffered significant financial losses.  We are working diligently to improve our Company’s finances in an effort to improve your investments in Enron, but we have a lot of work to do.      </w:t>
      </w:r>
    </w:p>
    <w:p>
      <w:pPr>
        <w:pStyle w:val="Normal"/>
        <w:rPr>
          <w:lang w:val="en-US"/>
        </w:rPr>
      </w:pPr>
      <w:r>
        <w:rPr>
          <w:lang w:val="en-US"/>
        </w:rPr>
      </w:r>
    </w:p>
    <w:p>
      <w:pPr>
        <w:pStyle w:val="Normal"/>
        <w:rPr>
          <w:b/>
          <w:bCs/>
          <w:lang w:val="en-US"/>
        </w:rPr>
      </w:pPr>
      <w:r>
        <w:rPr>
          <w:b/>
          <w:bCs/>
          <w:lang w:val="en-US"/>
        </w:rPr>
        <w:t>Why did we change our plan administrator?</w:t>
      </w:r>
    </w:p>
    <w:p>
      <w:pPr>
        <w:pStyle w:val="Normal"/>
        <w:rPr>
          <w:b/>
          <w:bCs/>
          <w:lang w:val="en-US"/>
        </w:rPr>
      </w:pPr>
      <w:r>
        <w:rPr>
          <w:b/>
          <w:bCs/>
          <w:lang w:val="en-US"/>
        </w:rPr>
      </w:r>
    </w:p>
    <w:p>
      <w:pPr>
        <w:pStyle w:val="Normal"/>
        <w:rPr>
          <w:lang w:val="en-US"/>
        </w:rPr>
      </w:pPr>
      <w:r>
        <w:rPr>
          <w:lang w:val="en-US"/>
        </w:rPr>
        <w:t xml:space="preserve">Following Enron’s merger with PGE in 1997, we needed to merge the two companies’ plans, and decided to conduct a search for a new 401(k) administrator. After a comprehensive review process, Northern Trust Service was selected and began administering the plan in July 1998. For a number of reasons including concerns about the quality of customer service, we chose to conduct a search for a new 401(k) administrator in 2001 and ultimately selected Hewitt Associates as our new vendor effective November 11. </w:t>
      </w:r>
    </w:p>
    <w:p>
      <w:pPr>
        <w:pStyle w:val="Normal"/>
        <w:rPr>
          <w:lang w:val="en-US"/>
        </w:rPr>
      </w:pPr>
      <w:r>
        <w:rPr>
          <w:lang w:val="en-US"/>
        </w:rPr>
      </w:r>
    </w:p>
    <w:p>
      <w:pPr>
        <w:pStyle w:val="Heading1"/>
        <w:ind w:hanging="0" w:start="0"/>
        <w:rPr/>
      </w:pPr>
      <w:r>
        <w:rPr/>
        <w:t>The decision to change plan administrator</w:t>
      </w:r>
    </w:p>
    <w:p>
      <w:pPr>
        <w:pStyle w:val="Normal"/>
        <w:rPr>
          <w:lang w:val="en-US"/>
        </w:rPr>
      </w:pPr>
      <w:r>
        <w:rPr>
          <w:lang w:val="en-US"/>
        </w:rPr>
      </w:r>
    </w:p>
    <w:p>
      <w:pPr>
        <w:pStyle w:val="Normal"/>
        <w:rPr>
          <w:lang w:val="en-US"/>
        </w:rPr>
      </w:pPr>
      <w:r>
        <w:rPr>
          <w:lang w:val="en-US"/>
        </w:rPr>
        <w:t>It is important to note that despite some factually inaccurate allegations made in recent lawsuits and in the media, the decision to change the plan administrator in October of 2001, was made early in (January?) of 2001.</w:t>
      </w:r>
    </w:p>
    <w:p>
      <w:pPr>
        <w:pStyle w:val="Normal"/>
        <w:rPr>
          <w:lang w:val="en-US"/>
        </w:rPr>
      </w:pPr>
      <w:r>
        <w:rPr>
          <w:lang w:val="en-US"/>
        </w:rPr>
      </w:r>
    </w:p>
    <w:p>
      <w:pPr>
        <w:pStyle w:val="Normal"/>
        <w:rPr>
          <w:lang w:val="en-US"/>
        </w:rPr>
      </w:pPr>
      <w:r>
        <w:rPr>
          <w:lang w:val="en-US"/>
        </w:rPr>
        <w:t>As you may recall, this information was contained in the letter (ACCURATE?) dated October 3, 2001 and in subsequent e-mails, which included a notification of the transition period that commenced after trading on October 26 and ended at the commencement of trading on November 13, 2001.</w:t>
      </w:r>
    </w:p>
    <w:p>
      <w:pPr>
        <w:pStyle w:val="Normal"/>
        <w:rPr>
          <w:lang w:val="en-US"/>
        </w:rPr>
      </w:pPr>
      <w:r>
        <w:rPr>
          <w:lang w:val="en-US"/>
        </w:rPr>
      </w:r>
    </w:p>
    <w:p>
      <w:pPr>
        <w:pStyle w:val="Normal"/>
        <w:rPr>
          <w:lang w:val="en-US"/>
        </w:rPr>
      </w:pPr>
      <w:r>
        <w:rPr>
          <w:lang w:val="en-US"/>
        </w:rPr>
        <w:t xml:space="preserve">This is a difficult time in our corporate history and I suspect it may be a difficult time for you and your family.  We are working very hard to improve the financial condition of Enron and will keep you apprised of important developments as they occur.  </w:t>
      </w:r>
    </w:p>
    <w:p>
      <w:pPr>
        <w:pStyle w:val="Normal"/>
        <w:rPr>
          <w:lang w:val="en-US"/>
        </w:rPr>
      </w:pPr>
      <w:r>
        <w:rPr>
          <w:lang w:val="en-US"/>
        </w:rPr>
      </w:r>
    </w:p>
    <w:p>
      <w:pPr>
        <w:pStyle w:val="Normal"/>
        <w:rPr>
          <w:lang w:val="en-US"/>
        </w:rPr>
      </w:pPr>
      <w:r>
        <w:rPr>
          <w:lang w:val="en-US"/>
        </w:rPr>
        <w:t xml:space="preserve">We thank you for your continuing hard work and efforts to maintain Enron’s position as a key player in the spot energy market.  If you have any further questions about the plan please do not hesitate to contact [NAME] at [NUMBER] </w:t>
      </w:r>
    </w:p>
    <w:p>
      <w:pPr>
        <w:pStyle w:val="Normal"/>
        <w:rPr>
          <w:lang w:val="en-US"/>
        </w:rPr>
      </w:pPr>
      <w:r>
        <w:rPr>
          <w:lang w:val="en-US"/>
        </w:rPr>
      </w:r>
    </w:p>
    <w:p>
      <w:pPr>
        <w:pStyle w:val="Normal"/>
        <w:rPr>
          <w:lang w:val="en-US"/>
        </w:rPr>
      </w:pPr>
      <w:r>
        <w:rPr>
          <w:lang w:val="en-US"/>
        </w:rPr>
        <w:t>Sincerely Yours,</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Kenneth L. Lay</w:t>
      </w:r>
    </w:p>
    <w:p>
      <w:pPr>
        <w:pStyle w:val="Normal"/>
        <w:rPr>
          <w:lang w:val="en-US"/>
        </w:rPr>
      </w:pPr>
      <w:r>
        <w:rPr>
          <w:lang w:val="en-US"/>
        </w:rPr>
        <w:t>Chairman and Chief Executive Officer</w:t>
      </w:r>
    </w:p>
    <w:p>
      <w:pPr>
        <w:pStyle w:val="BodyText"/>
        <w:rPr>
          <w:lang w:val="en-US"/>
        </w:rPr>
      </w:pPr>
      <w:r>
        <w:rPr>
          <w:lang w:val="en-US"/>
        </w:rPr>
      </w:r>
    </w:p>
    <w:p>
      <w:pPr>
        <w:pStyle w:val="BodyText"/>
        <w:rPr/>
      </w:pPr>
      <w:r>
        <w:rPr/>
      </w:r>
    </w:p>
    <w:p>
      <w:pPr>
        <w:pStyle w:val="BodyText"/>
        <w:rPr/>
      </w:pPr>
      <w:r>
        <w:rPr/>
      </w:r>
    </w:p>
    <w:p>
      <w:pPr>
        <w:pStyle w:val="BodyText"/>
        <w:rPr>
          <w:b/>
          <w:bCs/>
          <w:u w:val="single"/>
        </w:rPr>
      </w:pPr>
      <w:r>
        <w:rPr>
          <w:b/>
          <w:bCs/>
          <w:u w:val="single"/>
        </w:rPr>
      </w:r>
    </w:p>
    <w:p>
      <w:pPr>
        <w:pStyle w:val="BodyText"/>
        <w:rPr>
          <w:b/>
          <w:bCs/>
          <w:u w:val="single"/>
        </w:rPr>
      </w:pPr>
      <w:r>
        <w:rPr>
          <w:b/>
          <w:bCs/>
          <w:u w:val="single"/>
        </w:rPr>
      </w:r>
    </w:p>
    <w:p>
      <w:pPr>
        <w:pStyle w:val="BodyText"/>
        <w:rPr>
          <w:b/>
          <w:bCs/>
          <w:u w:val="single"/>
        </w:rPr>
      </w:pPr>
      <w:r>
        <w:rPr>
          <w:b/>
          <w:bCs/>
          <w:u w:val="single"/>
        </w:rPr>
      </w:r>
    </w:p>
    <w:sectPr>
      <w:type w:val="nextPage"/>
      <w:pgSz w:w="12240" w:h="15840"/>
      <w:pgMar w:left="1797" w:right="179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bullet"/>
      <w:lvlText w:val=""/>
      <w:lvlJc w:val="start"/>
      <w:pPr>
        <w:tabs>
          <w:tab w:val="num" w:pos="787"/>
        </w:tabs>
        <w:ind w:start="787"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2160"/>
        </w:tabs>
        <w:ind w:start="2160" w:hanging="360"/>
      </w:pPr>
      <w:rPr>
        <w:rFonts w:ascii="Times New Roman" w:hAnsi="Times New Roman" w:cs="Times New Roman"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bCs/>
      <w:sz w:val="24"/>
    </w:rPr>
  </w:style>
  <w:style w:type="paragraph" w:styleId="Heading2">
    <w:name w:val="heading 2"/>
    <w:basedOn w:val="Normal"/>
    <w:next w:val="Normal"/>
    <w:qFormat/>
    <w:pPr>
      <w:keepNext w:val="true"/>
      <w:numPr>
        <w:ilvl w:val="1"/>
        <w:numId w:val="1"/>
      </w:numPr>
      <w:outlineLvl w:val="1"/>
    </w:pPr>
    <w:rPr>
      <w:b/>
      <w:bCs/>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Times New Roman" w:hAnsi="Times New Roman" w:eastAsia="Times New Roman" w:cs="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2001-11-26T19:20:00Z</dcterms:created>
  <dc:creator>MBUC1458</dc:creator>
  <dc:description/>
  <dc:language>en-CA</dc:language>
  <cp:lastModifiedBy>MBUC1458</cp:lastModifiedBy>
  <cp:lastPrinted>2001-11-26T16:23:00Z</cp:lastPrinted>
  <dcterms:modified xsi:type="dcterms:W3CDTF">2001-11-26T19:20:00Z</dcterms:modified>
  <cp:revision>2</cp:revision>
  <dc:subject/>
  <dc:title>DRAFT ONLY – NOT FOR EXTERNAL DISTRIBUTION</dc:title>
</cp:coreProperties>
</file>