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ENA Upstream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Brian Redmond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Upstream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tabs>
          <w:tab w:val="clear" w:pos="540"/>
        </w:tabs>
        <w:jc w:val="both"/>
        <w:rPr>
          <w:lang w:eastAsia="en-US"/>
        </w:rPr>
      </w:pPr>
      <w:r>
        <w:rPr>
          <w:lang w:eastAsia="en-US"/>
        </w:rPr>
      </w:r>
    </w:p>
    <w:p>
      <w:pPr>
        <w:pStyle w:val="Normal"/>
        <w:tabs>
          <w:tab w:val="clear" w:pos="540"/>
        </w:tabs>
        <w:jc w:val="both"/>
        <w:rPr/>
      </w:pPr>
      <w:r>
        <w:rPr>
          <w:sz w:val="20"/>
          <w:lang w:eastAsia="en-US"/>
        </w:rPr>
        <w:t xml:space="preserve">Our “ENA Upstream 2000 Goals &amp; Objectives” included the two strategic initiatives listed below.  </w:t>
      </w:r>
      <w:r>
        <w:rPr>
          <w:sz w:val="20"/>
        </w:rPr>
        <w:t>In addition, Enron is seeking to use its transaction and market making capabilities to create investment liquidity, increase capital velocity, and achieve a higher return on capital.</w:t>
      </w:r>
    </w:p>
    <w:p>
      <w:pPr>
        <w:pStyle w:val="Footer"/>
        <w:tabs>
          <w:tab w:val="clear" w:pos="4320"/>
          <w:tab w:val="clear" w:pos="8640"/>
          <w:tab w:val="left" w:pos="540" w:leader="none"/>
        </w:tabs>
        <w:jc w:val="both"/>
        <w:rPr>
          <w:sz w:val="20"/>
        </w:rPr>
      </w:pPr>
      <w:r>
        <w:rPr>
          <w:sz w:val="20"/>
        </w:rPr>
      </w:r>
    </w:p>
    <w:p>
      <w:pPr>
        <w:pStyle w:val="Normal"/>
        <w:numPr>
          <w:ilvl w:val="0"/>
          <w:numId w:val="6"/>
        </w:numPr>
        <w:jc w:val="both"/>
        <w:rPr>
          <w:b/>
          <w:sz w:val="20"/>
        </w:rPr>
      </w:pPr>
      <w:r>
        <w:rPr>
          <w:b/>
          <w:sz w:val="20"/>
        </w:rPr>
        <w:t>Establish a sustainable profit/loss position for Houston Pipe Line:</w:t>
      </w:r>
    </w:p>
    <w:p>
      <w:pPr>
        <w:pStyle w:val="Normal"/>
        <w:jc w:val="both"/>
        <w:rPr>
          <w:b/>
          <w:sz w:val="20"/>
        </w:rPr>
      </w:pPr>
      <w:r>
        <w:rPr>
          <w:b/>
          <w:sz w:val="20"/>
        </w:rPr>
      </w:r>
    </w:p>
    <w:p>
      <w:pPr>
        <w:pStyle w:val="Normal"/>
        <w:numPr>
          <w:ilvl w:val="0"/>
          <w:numId w:val="2"/>
        </w:numPr>
        <w:tabs>
          <w:tab w:val="clear" w:pos="540"/>
          <w:tab w:val="left" w:pos="1080" w:leader="none"/>
        </w:tabs>
        <w:ind w:hanging="540" w:start="1080" w:end="0"/>
        <w:jc w:val="both"/>
        <w:rPr>
          <w:sz w:val="20"/>
        </w:rPr>
      </w:pPr>
      <w:r>
        <w:rPr>
          <w:sz w:val="20"/>
        </w:rPr>
        <w:t>Secure access to a competitive source of gas supply.</w:t>
      </w:r>
    </w:p>
    <w:p>
      <w:pPr>
        <w:pStyle w:val="Normal"/>
        <w:numPr>
          <w:ilvl w:val="0"/>
          <w:numId w:val="2"/>
        </w:numPr>
        <w:tabs>
          <w:tab w:val="clear" w:pos="540"/>
          <w:tab w:val="left" w:pos="1080" w:leader="none"/>
        </w:tabs>
        <w:ind w:hanging="540" w:start="1080" w:end="0"/>
        <w:jc w:val="both"/>
        <w:rPr>
          <w:sz w:val="20"/>
        </w:rPr>
      </w:pPr>
      <w:r>
        <w:rPr>
          <w:sz w:val="20"/>
        </w:rPr>
        <w:t>Increase net transportation revenues by increasing margins and/or throughput.</w:t>
      </w:r>
    </w:p>
    <w:p>
      <w:pPr>
        <w:pStyle w:val="Normal"/>
        <w:numPr>
          <w:ilvl w:val="0"/>
          <w:numId w:val="2"/>
        </w:numPr>
        <w:tabs>
          <w:tab w:val="clear" w:pos="540"/>
          <w:tab w:val="left" w:pos="1080" w:leader="none"/>
        </w:tabs>
        <w:ind w:hanging="540" w:start="1080" w:end="0"/>
        <w:jc w:val="both"/>
        <w:rPr>
          <w:sz w:val="20"/>
        </w:rPr>
      </w:pPr>
      <w:r>
        <w:rPr>
          <w:sz w:val="20"/>
        </w:rPr>
        <w:t>Gain operating cost efficiencies through economies of scale, improvements in HW/SW systems, improvements in work processes, and outsourcing arrangements.</w:t>
      </w:r>
    </w:p>
    <w:p>
      <w:pPr>
        <w:pStyle w:val="Normal"/>
        <w:ind w:start="360" w:end="0"/>
        <w:jc w:val="both"/>
        <w:rPr>
          <w:sz w:val="20"/>
        </w:rPr>
      </w:pPr>
      <w:r>
        <w:rPr>
          <w:sz w:val="20"/>
        </w:rPr>
      </w:r>
    </w:p>
    <w:p>
      <w:pPr>
        <w:pStyle w:val="BodyTextIndent2"/>
        <w:numPr>
          <w:ilvl w:val="0"/>
          <w:numId w:val="6"/>
        </w:numPr>
        <w:jc w:val="both"/>
        <w:rPr>
          <w:b/>
          <w:sz w:val="20"/>
        </w:rPr>
      </w:pPr>
      <w:r>
        <w:rPr>
          <w:b/>
          <w:sz w:val="20"/>
        </w:rPr>
        <w:t>Leverage Enron’s gas related commercial, analytical and risk management resources to achieve 2000 origination targets:</w:t>
      </w:r>
    </w:p>
    <w:p>
      <w:pPr>
        <w:pStyle w:val="BodyTextIndent2"/>
        <w:ind w:hanging="0" w:start="0" w:end="0"/>
        <w:jc w:val="both"/>
        <w:rPr>
          <w:b/>
          <w:sz w:val="20"/>
        </w:rPr>
      </w:pPr>
      <w:r>
        <w:rPr>
          <w:b/>
          <w:sz w:val="20"/>
        </w:rPr>
      </w:r>
    </w:p>
    <w:p>
      <w:pPr>
        <w:pStyle w:val="Normal"/>
        <w:numPr>
          <w:ilvl w:val="0"/>
          <w:numId w:val="4"/>
        </w:numPr>
        <w:tabs>
          <w:tab w:val="clear" w:pos="540"/>
          <w:tab w:val="left" w:pos="1080" w:leader="none"/>
        </w:tabs>
        <w:ind w:hanging="540" w:start="1080" w:end="0"/>
        <w:jc w:val="both"/>
        <w:rPr>
          <w:sz w:val="20"/>
        </w:rPr>
      </w:pPr>
      <w:r>
        <w:rPr>
          <w:sz w:val="20"/>
        </w:rPr>
        <w:t>Improve the speed and efficiency at which transactions are identified, analyzed, structured and approved.</w:t>
      </w:r>
    </w:p>
    <w:p>
      <w:pPr>
        <w:pStyle w:val="Normal"/>
        <w:numPr>
          <w:ilvl w:val="0"/>
          <w:numId w:val="4"/>
        </w:numPr>
        <w:tabs>
          <w:tab w:val="clear" w:pos="540"/>
          <w:tab w:val="left" w:pos="1080" w:leader="none"/>
        </w:tabs>
        <w:ind w:hanging="540" w:start="1080" w:end="0"/>
        <w:jc w:val="both"/>
        <w:rPr>
          <w:sz w:val="20"/>
        </w:rPr>
      </w:pPr>
      <w:r>
        <w:rPr>
          <w:sz w:val="20"/>
        </w:rPr>
        <w:t>Increase the volume, value and quality of transactions originated within the Group.</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20"/>
        </w:rPr>
      </w:pPr>
      <w:r>
        <w:rPr>
          <w:sz w:val="20"/>
        </w:rPr>
        <w:t>We achieved our Q1 earnings targets and are making good progress toward achieving the above objectives.  We have successfully completed a number of valuable transactions and are gaining an in depth understanding of HPL.  Given this platform of success, we have a real opportunity to exceed our 2000 targets by better aligning our resources and expanding the scope of our activities to accomplish the following:</w:t>
      </w:r>
    </w:p>
    <w:p>
      <w:pPr>
        <w:pStyle w:val="Normal"/>
        <w:tabs>
          <w:tab w:val="clear" w:pos="540"/>
        </w:tabs>
        <w:jc w:val="both"/>
        <w:rPr>
          <w:sz w:val="20"/>
        </w:rPr>
      </w:pPr>
      <w:r>
        <w:rPr>
          <w:sz w:val="20"/>
        </w:rPr>
      </w:r>
    </w:p>
    <w:p>
      <w:pPr>
        <w:pStyle w:val="Normal"/>
        <w:numPr>
          <w:ilvl w:val="0"/>
          <w:numId w:val="3"/>
        </w:numPr>
        <w:tabs>
          <w:tab w:val="clear" w:pos="540"/>
        </w:tabs>
        <w:jc w:val="both"/>
        <w:rPr>
          <w:sz w:val="20"/>
        </w:rPr>
      </w:pPr>
      <w:r>
        <w:rPr>
          <w:sz w:val="20"/>
        </w:rPr>
        <w:t>Concentrate responsibility and authority in managing and optimizing our investment in HPL and Bridgeline Holdings.</w:t>
      </w:r>
    </w:p>
    <w:p>
      <w:pPr>
        <w:pStyle w:val="Normal"/>
        <w:tabs>
          <w:tab w:val="clear" w:pos="540"/>
        </w:tabs>
        <w:jc w:val="both"/>
        <w:rPr>
          <w:sz w:val="20"/>
        </w:rPr>
      </w:pPr>
      <w:r>
        <w:rPr>
          <w:sz w:val="20"/>
        </w:rPr>
      </w:r>
    </w:p>
    <w:p>
      <w:pPr>
        <w:pStyle w:val="Normal"/>
        <w:numPr>
          <w:ilvl w:val="0"/>
          <w:numId w:val="3"/>
        </w:numPr>
        <w:tabs>
          <w:tab w:val="clear" w:pos="540"/>
        </w:tabs>
        <w:jc w:val="both"/>
        <w:rPr>
          <w:sz w:val="20"/>
        </w:rPr>
      </w:pPr>
      <w:r>
        <w:rPr>
          <w:sz w:val="20"/>
        </w:rPr>
        <w:t>Expand our origination effort across ENA to include transactions related to the supply, gathering, processing, treating, transportation, and storage of gas and the transmission of electricity.</w:t>
      </w:r>
    </w:p>
    <w:p>
      <w:pPr>
        <w:pStyle w:val="Normal"/>
        <w:tabs>
          <w:tab w:val="clear" w:pos="540"/>
        </w:tabs>
        <w:jc w:val="both"/>
        <w:rPr>
          <w:sz w:val="20"/>
        </w:rPr>
      </w:pPr>
      <w:r>
        <w:rPr>
          <w:sz w:val="20"/>
        </w:rPr>
      </w:r>
    </w:p>
    <w:p>
      <w:pPr>
        <w:pStyle w:val="Normal"/>
        <w:numPr>
          <w:ilvl w:val="0"/>
          <w:numId w:val="3"/>
        </w:numPr>
        <w:tabs>
          <w:tab w:val="clear" w:pos="540"/>
        </w:tabs>
        <w:jc w:val="both"/>
        <w:rPr>
          <w:sz w:val="20"/>
        </w:rPr>
      </w:pPr>
      <w:r>
        <w:rPr>
          <w:sz w:val="20"/>
        </w:rPr>
        <w:t>Coordinate our activities more closely with the gas trading to identify and act on arbitrage opportunities and ENA preferences in taking a gas-related position.</w:t>
      </w:r>
    </w:p>
    <w:p>
      <w:pPr>
        <w:pStyle w:val="Normal"/>
        <w:tabs>
          <w:tab w:val="clear" w:pos="540"/>
        </w:tabs>
        <w:jc w:val="both"/>
        <w:rPr>
          <w:sz w:val="20"/>
        </w:rPr>
      </w:pPr>
      <w:r>
        <w:rPr>
          <w:sz w:val="20"/>
        </w:rPr>
      </w:r>
    </w:p>
    <w:p>
      <w:pPr>
        <w:pStyle w:val="Normal"/>
        <w:numPr>
          <w:ilvl w:val="0"/>
          <w:numId w:val="3"/>
        </w:numPr>
        <w:tabs>
          <w:tab w:val="clear" w:pos="540"/>
        </w:tabs>
        <w:jc w:val="both"/>
        <w:rPr>
          <w:sz w:val="20"/>
        </w:rPr>
      </w:pPr>
      <w:r>
        <w:rPr>
          <w:sz w:val="20"/>
        </w:rPr>
        <w:t>Leverage our operations, engineering and transaction experience across ENA to bring the right type and quantity of resources to support our origination efforts.</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Footer"/>
        <w:tabs>
          <w:tab w:val="clear" w:pos="4320"/>
          <w:tab w:val="clear" w:pos="8640"/>
        </w:tabs>
        <w:jc w:val="both"/>
        <w:rPr>
          <w:sz w:val="20"/>
        </w:rPr>
      </w:pPr>
      <w:r>
        <w:rPr>
          <w:sz w:val="20"/>
        </w:rPr>
        <w:t xml:space="preserve">The attached presentation summarizes the strategy and organization we will use to accomplish these objectives.  For most of us, our day to day activities will not change.   We still need to flow gas on HPL and we still need to meet our second quarter income targets.   We will, however, expand our upstream origination effort to apply our knowledge and skills across the North American gas grid.  </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The primary change is to transition our origination units into a matrix organization composed of regional and product origination teams as follows:</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 xml:space="preserve">Regional Origination Teams (West, Central, East, Texas, and Offshore) will be established to work closely with the gas trading desks.  Brian Bierbach, Hal Bertram, and Tom Byargeon will each lead one of these teams and other team leaders will be added.  The primary objective of the Regional Teams is to develop strategies and identify upstream opportunities that are consistent with our view of the gas market.  The Regional Teams will call on resources from one or more of the Product Origination Teams (transportation, storage, compression, supply, outsourcing, day rate hedging, transmission, as well as the CTG) to carry out the transactions. The Regional and Product teams will share P/L responsibility for transactions and their performance will be partially based on their ability to work as a team. </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The Product Origination Teams will continue to pursue transactions, but in coordination with strategy and preferences established by the Regional Teams.  The Product Teams will share P/L responsibility with the Regional Teams and will manage the deployment of resources across the regions based on the relative merits of the transactions being pursued.   Resources will be moved between Product Teams and new teams may be established based on the needs of the market.</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 xml:space="preserve">The Regional and Product Teams will report to a lead originator who has yet to be named.  The lead originator will be responsible for developing an overall upstream origination strategy, managing the deployment of resources, and ensuring proper coordination with the gas trading desks and the other origination teams in ENA (Power, Downstream, Financial Investments, etc.).  </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The Origination Teams will continue to use the CTG Group as a resource base to structure and finance transactions, as well as to facilitate the ENA approval process. The CTG Group provides an excellent vehicle to leverage our execution capability so that we can transact in a more efficient and faster manner.  Patrick Wade who has led many of the finance efforts for the asset group will now be moving to the ENA Mergers &amp; Acquisition Group under Tim Detmering.  Patrick will continue to provide a valuable resource in our efforts to optimize the value of HPL.</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The resources currently supporting HPL will continue to do so.  Greg Sharp will assume responsibility for optimizing the performance of the HPL and Bridgeline assets.  Specifically, Greg will assume P/L responsibility for non-trading HPL activities including supply, processing, operations, engineering and marketing.  Tom Martin will continue to have P/L responsibility for trading, transport and storage and Tom and Greg will share the HPL marketing resources and associated P/L.   Greg will be appointed as one of the Enron board members to Bridgeline Holdings and will assume responsibility for our interests in Mid Texas, South Texas and the A/S joint ventures.  Tom Liewer who currently is responsible for these activities will be retiring at the end of April, but will be available on a consulting basis if necessary.  In addition, Greg will establish a new position that will be responsible for coordinating the various projects aimed at optimizing the value of HPL including Project Torque, Project Blue Devil, and Project Coca-Cola.</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Engineering, under Nick Cocavessis, will continue to support HPL and will now also be responsible for staffing and managing the construction activities in each of the regions.   Ken Choice will now report to Nick, but will be succunded to Mark Witt with respect to the Powder and Wind River construction efforts.  The appropriate Product or Regional Team leader will approve all Engineer costs under a budget/work order arrangement.</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Operations, under Steve Schneider, will continue to manage the operations of HPL and will now assume responsibility for staffing and managing the operations of all ENA Upstream assets.  Steve will coordinate with the appropriate Product or Regional Team leaders and will charge for services under a budget/work order arrangement.  Ken Kaase will be responsible for managing the Service Agreement between HPL and HMS and will now report to Steve.  Ken will be available to support Greg as necessary in optimizing the performance of HPL.   Ken Choice and Mark Witt will coordinate with Steve to ensure proper management of the various operating arrangements for ENA’s assets.</w:t>
      </w:r>
    </w:p>
    <w:p>
      <w:pPr>
        <w:pStyle w:val="Footer"/>
        <w:tabs>
          <w:tab w:val="clear" w:pos="4320"/>
          <w:tab w:val="clear" w:pos="8640"/>
        </w:tabs>
        <w:jc w:val="both"/>
        <w:rPr>
          <w:sz w:val="20"/>
        </w:rPr>
      </w:pPr>
      <w:r>
        <w:rPr>
          <w:sz w:val="20"/>
        </w:rPr>
      </w:r>
    </w:p>
    <w:p>
      <w:pPr>
        <w:pStyle w:val="Footer"/>
        <w:numPr>
          <w:ilvl w:val="0"/>
          <w:numId w:val="5"/>
        </w:numPr>
        <w:tabs>
          <w:tab w:val="clear" w:pos="4320"/>
          <w:tab w:val="clear" w:pos="8640"/>
        </w:tabs>
        <w:jc w:val="both"/>
        <w:rPr>
          <w:sz w:val="20"/>
        </w:rPr>
      </w:pPr>
      <w:r>
        <w:rPr>
          <w:sz w:val="20"/>
        </w:rPr>
        <w:t xml:space="preserve">The Commercial Support functions will continue to support HPL as well as the Regional and Product Teams under a budget/work order arrangement.  The deployment of Commercial Support resources will be determined by the head of each of Commercial Support group based on a prioritization of activities defined by the lead originator.  Charges for the Commercial Support functions will also be on a budget/work order arrangement. </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 xml:space="preserve">The dynamic forces in the N. American gas market (electricity deregulation, gas fired IPPs, GOM gas supplies, new Canadian pipelines, and environmental concerns) provide opportunities for us to capture significant value.   Our new organization (renamed ENA Upstream) will give us the focus and structure we need to transact quickly based on our upstream preferences.   We have already begun hiring new talent to expand our Regional and Product Origination Teams and we will continue to do so based on the needs of the market.   </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 xml:space="preserve">I will be meeting with each of the business units in the coming weeks to review the new organization and answer any questions you may have.  </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540"/>
        </w:tabs>
        <w:ind w:start="540" w:hanging="5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1440" w:end="0"/>
      <w:jc w:val="both"/>
    </w:pPr>
    <w:rPr>
      <w:rFonts w:ascii="Times New Roman" w:hAnsi="Times New Roman" w:cs="Times New Roman"/>
      <w:sz w:val="20"/>
    </w:rPr>
  </w:style>
  <w:style w:type="paragraph" w:styleId="BodyTextIndent3">
    <w:name w:val="Body Text Indent 3"/>
    <w:basedOn w:val="Normal"/>
    <w:qFormat/>
    <w:pPr>
      <w:tabs>
        <w:tab w:val="clear" w:pos="540"/>
      </w:tabs>
      <w:ind w:hanging="720" w:start="720" w:end="0"/>
      <w:jc w:val="both"/>
    </w:pPr>
    <w:rPr>
      <w:rFonts w:ascii="Times New Roman" w:hAnsi="Times New Roman" w:cs="Times New Roman"/>
      <w:b/>
    </w:rPr>
  </w:style>
  <w:style w:type="paragraph" w:styleId="BodyTextIndent2">
    <w:name w:val="Body Text Indent 2"/>
    <w:basedOn w:val="Normal"/>
    <w:qFormat/>
    <w:pPr>
      <w:ind w:hanging="540" w:start="5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2000-04-17T16:53:00Z</dcterms:created>
  <dc:creator>Jeff Ford</dc:creator>
  <dc:description/>
  <dc:language>en-CA</dc:language>
  <cp:lastModifiedBy>kbenedi</cp:lastModifiedBy>
  <cp:lastPrinted>2000-04-17T14:57:00Z</cp:lastPrinted>
  <dcterms:modified xsi:type="dcterms:W3CDTF">2000-04-17T17:28:00Z</dcterms:modified>
  <cp:revision>6</cp:revision>
  <dc:subject/>
  <dc:title>Eron Capital &amp; Trade Resources Memo</dc:title>
</cp:coreProperties>
</file>