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pPr>
      <w:r>
        <w:rPr/>
      </w:r>
    </w:p>
    <w:p>
      <w:pPr>
        <w:pStyle w:val="Heading"/>
        <w:widowControl/>
        <w:rPr/>
      </w:pPr>
      <w:r>
        <w:rPr/>
        <w:t>COLLATERAL AGREEMENT</w:t>
      </w:r>
    </w:p>
    <w:p>
      <w:pPr>
        <w:pStyle w:val="Normal"/>
        <w:widowControl/>
        <w:jc w:val="center"/>
        <w:rPr>
          <w:b/>
        </w:rPr>
      </w:pPr>
      <w:r>
        <w:rPr>
          <w:b/>
        </w:rPr>
      </w:r>
    </w:p>
    <w:p>
      <w:pPr>
        <w:pStyle w:val="Normal"/>
        <w:widowControl/>
        <w:rPr/>
      </w:pPr>
      <w:r>
        <w:rPr>
          <w:b/>
        </w:rPr>
        <w:tab/>
      </w:r>
      <w:r>
        <w:rPr/>
        <w:t>This Collateral Agreement (</w:t>
      </w:r>
      <w:r>
        <w:rPr>
          <w:b/>
        </w:rPr>
        <w:t>“Collateral Agreement”</w:t>
      </w:r>
      <w:r>
        <w:rPr/>
        <w:t>) is entered into as of September 24, 2001 (</w:t>
      </w:r>
      <w:r>
        <w:rPr>
          <w:b/>
        </w:rPr>
        <w:t>“</w:t>
      </w:r>
      <w:r>
        <w:rPr>
          <w:b/>
          <w:i/>
        </w:rPr>
        <w:t>Effective Date</w:t>
      </w:r>
      <w:r>
        <w:rPr>
          <w:b/>
        </w:rPr>
        <w:t>”</w:t>
      </w:r>
      <w:r>
        <w:rPr/>
        <w:t>) between Duke Energy Trading and Marketing, L.L.C., a Delaware limited liability company (</w:t>
      </w:r>
      <w:r>
        <w:rPr>
          <w:b/>
          <w:i/>
        </w:rPr>
        <w:t>“DETM”</w:t>
      </w:r>
      <w:r>
        <w:rPr/>
        <w:t>) and, Enron North America Corporation, ______________________ (</w:t>
      </w:r>
      <w:r>
        <w:rPr>
          <w:b/>
          <w:i/>
        </w:rPr>
        <w:t>“Counterparty”</w:t>
      </w:r>
      <w:r>
        <w:rPr>
          <w:b/>
        </w:rPr>
        <w:t>)</w:t>
      </w:r>
      <w:r>
        <w:rPr/>
        <w:t xml:space="preserve">.  Each of DETM and Counterparty may be herein referred to individually as a </w:t>
      </w:r>
      <w:r>
        <w:rPr>
          <w:b/>
          <w:i/>
        </w:rPr>
        <w:t xml:space="preserve">“Party” </w:t>
      </w:r>
      <w:r>
        <w:rPr/>
        <w:t xml:space="preserve">and collectively as the </w:t>
      </w:r>
      <w:r>
        <w:rPr>
          <w:b/>
          <w:i/>
        </w:rPr>
        <w:t>“Parties”</w:t>
      </w:r>
      <w:r>
        <w:rPr/>
        <w:t>.</w:t>
      </w:r>
    </w:p>
    <w:p>
      <w:pPr>
        <w:pStyle w:val="Normal"/>
        <w:widowControl/>
        <w:rPr/>
      </w:pPr>
      <w:r>
        <w:rPr/>
      </w:r>
    </w:p>
    <w:p>
      <w:pPr>
        <w:pStyle w:val="Normal"/>
        <w:widowControl/>
        <w:ind w:firstLine="720" w:end="0"/>
        <w:rPr/>
      </w:pPr>
      <w:r>
        <w:rPr>
          <w:b/>
        </w:rPr>
        <w:t xml:space="preserve">WHEREAS, </w:t>
      </w:r>
      <w:r>
        <w:rPr/>
        <w:t xml:space="preserve">the Parties have entered into, or may in the future enter into, one or more transactions for the purchase and sale of natural gas and power, including but not limited to energy, capacity and ancillary services products (specifically excluding financial derivative transactions between the Parties, such as but not limited to swaps, financially settled options or financial hedge transactions), as may be evidenced by one or more confirmation letters and/or master agreements (including but not limited to that certain Base Contract for Short-Term Sale and Purchase of Natural Gas executed by DETM and Counterparty, dated effective as of December  1, 2000, and Exchange for Physicals Gas Sales and Purchase Contract previously executed by Panhandle Trading Company, the predecessor in interest to DETM, and Enron Gas Marketing, Inc., the predecessor in interest to Counterparty, dated effective as of September 1, 1993) </w:t>
      </w:r>
      <w:r>
        <w:rPr>
          <w:b/>
        </w:rPr>
        <w:t xml:space="preserve"> </w:t>
      </w:r>
      <w:r>
        <w:rPr/>
        <w:t xml:space="preserve">as each may have been amended from time to time) (herein referred to individually as an </w:t>
      </w:r>
      <w:r>
        <w:rPr>
          <w:b/>
          <w:i/>
        </w:rPr>
        <w:t>“Agreement”</w:t>
      </w:r>
      <w:r>
        <w:rPr/>
        <w:t xml:space="preserve"> and collectively as the </w:t>
      </w:r>
      <w:r>
        <w:rPr>
          <w:b/>
          <w:i/>
        </w:rPr>
        <w:t>“Agreements”</w:t>
      </w:r>
      <w:r>
        <w:rPr/>
        <w:t xml:space="preserve">).  This Collateral Agreement is intended by the Parties to apply to any exchange of futures for physical transactions (“EFP”) under the Agreements; </w:t>
      </w:r>
    </w:p>
    <w:p>
      <w:pPr>
        <w:pStyle w:val="1TAB"/>
        <w:widowControl/>
        <w:spacing w:before="0" w:after="0"/>
        <w:rPr/>
      </w:pPr>
      <w:r>
        <w:rPr/>
      </w:r>
    </w:p>
    <w:p>
      <w:pPr>
        <w:pStyle w:val="Normal"/>
        <w:widowControl/>
        <w:ind w:firstLine="720" w:end="0"/>
        <w:rPr/>
      </w:pPr>
      <w:r>
        <w:rPr>
          <w:b/>
        </w:rPr>
        <w:t>WHEREAS,</w:t>
      </w:r>
      <w:r>
        <w:rPr/>
        <w:t xml:space="preserve"> the Parties desire to reduce their respective aggregate credit exposures by entering into an arrangement whereby they will determine a net exposure amount under the Agreements and provide (a) a method for posting and returning collateral, if applicable, and (b) for calculating a Net Settlement Amount, where one is not provided in the underlying Agreement, for purposes of determining the net amount that would be owed by one Party to the other Party if all outstanding Transactions entered into under all Agreements were liquidated and terminated pursuant to the governing Agreements and/or this Collateral Agreement;</w:t>
      </w:r>
    </w:p>
    <w:p>
      <w:pPr>
        <w:pStyle w:val="Normal"/>
        <w:widowControl/>
        <w:ind w:firstLine="720" w:end="0"/>
        <w:rPr/>
      </w:pPr>
      <w:r>
        <w:rPr/>
      </w:r>
    </w:p>
    <w:p>
      <w:pPr>
        <w:pStyle w:val="Normal"/>
        <w:widowControl/>
        <w:ind w:firstLine="720" w:end="0"/>
        <w:rPr/>
      </w:pPr>
      <w:r>
        <w:rPr>
          <w:b/>
        </w:rPr>
        <w:t>NOW THEREFORE,</w:t>
      </w:r>
      <w:r>
        <w:rPr/>
        <w:t xml:space="preserve"> in consideration of the mutual covenants and agreements contained herein and in the Agreements, and in further consideration of the Parties desire to continue to conduct business as a result of the restructuring of the collateralization of the Agreements under the terms of this Collateral Agreement, the receipt and sufficiency of said consideration being expressly acknowledged by each Party, the Parties hereby agree as follows:   </w:t>
      </w:r>
    </w:p>
    <w:p>
      <w:pPr>
        <w:pStyle w:val="Normal"/>
        <w:widowControl/>
        <w:rPr/>
      </w:pPr>
      <w:r>
        <w:rPr/>
      </w:r>
    </w:p>
    <w:p>
      <w:pPr>
        <w:pStyle w:val="Normal"/>
        <w:widowControl/>
        <w:rPr/>
      </w:pPr>
      <w:r>
        <w:rPr>
          <w:b/>
        </w:rPr>
        <w:t>Paragraph 1.</w:t>
      </w:r>
      <w:r>
        <w:rPr/>
        <w:tab/>
      </w:r>
      <w:r>
        <w:rPr>
          <w:b/>
          <w:u w:val="single"/>
        </w:rPr>
        <w:t>Agreements Supplemented</w:t>
      </w:r>
      <w:r>
        <w:rPr>
          <w:b/>
        </w:rPr>
        <w:t xml:space="preserve">.   </w:t>
      </w:r>
      <w:r>
        <w:rPr/>
        <w:t xml:space="preserve">This Collateral Agreement supplements and is an integral part of the Agreements and any Credit Support Documents in connection therewith.  Any inconsistencies between this Collateral Agreement and any of the Agreements or any Credit Support Documents shall be resolved in favor of this Collateral Agreement unless otherwise expressly set forth herein.   </w:t>
      </w:r>
    </w:p>
    <w:p>
      <w:pPr>
        <w:pStyle w:val="Normal"/>
        <w:widowControl/>
        <w:rPr/>
      </w:pPr>
      <w:r>
        <w:rPr/>
      </w:r>
    </w:p>
    <w:p>
      <w:pPr>
        <w:pStyle w:val="Normal"/>
        <w:widowControl/>
        <w:spacing w:before="0" w:after="240"/>
        <w:rPr/>
      </w:pPr>
      <w:r>
        <w:rPr>
          <w:b/>
        </w:rPr>
        <w:t>Paragraph 2.</w:t>
      </w:r>
      <w:r>
        <w:rPr/>
        <w:tab/>
      </w:r>
      <w:r>
        <w:rPr>
          <w:b/>
          <w:u w:val="single"/>
        </w:rPr>
        <w:t>Definitions and Interpretations</w:t>
      </w:r>
      <w:r>
        <w:rPr>
          <w:b/>
        </w:rPr>
        <w:t>.</w:t>
      </w:r>
      <w:r>
        <w:rPr/>
        <w:t xml:space="preserve">  References in this Collateral Agreement to Paragraphs are to Paragraphs in this Collateral Agreement unless otherwise expressly provided.  Capitalized terms used and not otherwise defined in this Collateral Agreement shall have the meanings specified in the respective Agreements.  In addition, the following terms shall have the meanings indicated:</w:t>
      </w:r>
    </w:p>
    <w:p>
      <w:pPr>
        <w:pStyle w:val="Normal"/>
        <w:widowControl/>
        <w:spacing w:before="0" w:after="240"/>
        <w:rPr/>
      </w:pPr>
      <w:r>
        <w:rPr/>
        <w:tab/>
      </w:r>
      <w:r>
        <w:rPr>
          <w:b/>
          <w:i/>
        </w:rPr>
        <w:t>“Business Day”</w:t>
      </w:r>
      <w:r>
        <w:rPr/>
        <w:t xml:space="preserve"> means any day on which Federal Reserve member banks in New York City are open for business.</w:t>
      </w:r>
    </w:p>
    <w:p>
      <w:pPr>
        <w:pStyle w:val="Normal"/>
        <w:widowControl/>
        <w:rPr/>
      </w:pPr>
      <w:r>
        <w:rPr/>
        <w:tab/>
      </w:r>
      <w:r>
        <w:rPr>
          <w:b/>
        </w:rPr>
        <w:t>“</w:t>
      </w:r>
      <w:r>
        <w:rPr>
          <w:b/>
          <w:i/>
        </w:rPr>
        <w:t>Cash</w:t>
      </w:r>
      <w:r>
        <w:rPr>
          <w:b/>
        </w:rPr>
        <w:t>”</w:t>
      </w:r>
      <w:r>
        <w:rPr/>
        <w:t xml:space="preserve"> means immediately available lawful currency of the United States of America.</w:t>
      </w:r>
    </w:p>
    <w:p>
      <w:pPr>
        <w:pStyle w:val="1TAB"/>
        <w:widowControl/>
        <w:spacing w:before="0" w:after="0"/>
        <w:rPr/>
      </w:pPr>
      <w:r>
        <w:rPr/>
      </w:r>
    </w:p>
    <w:p>
      <w:pPr>
        <w:pStyle w:val="Normal"/>
        <w:widowControl/>
        <w:ind w:firstLine="720" w:end="0"/>
        <w:rPr/>
      </w:pPr>
      <w:r>
        <w:rPr>
          <w:b/>
          <w:i/>
        </w:rPr>
        <w:t>“</w:t>
      </w:r>
      <w:r>
        <w:rPr>
          <w:b/>
          <w:i/>
        </w:rPr>
        <w:t>Collateral Threshold Amount”</w:t>
      </w:r>
      <w:r>
        <w:rPr/>
        <w:t xml:space="preserve"> means: (i) with respect to DETM, $10,000,000; and (ii) with respect to Counterparty the lesser of  $10,000,000 or the amount set forth in the Guaranty provided by Counterparty’s Guarantor.  Provided, however that if there is an Event of Default, as defined herein, continuing with respect to a Party or its Credit Support Provider, the Collateral Threshold Amount for such Party shall be zero.</w:t>
      </w:r>
    </w:p>
    <w:p>
      <w:pPr>
        <w:pStyle w:val="Normal"/>
        <w:widowControl/>
        <w:rPr/>
      </w:pPr>
      <w:r>
        <w:rPr/>
      </w:r>
    </w:p>
    <w:p>
      <w:pPr>
        <w:pStyle w:val="Normal"/>
        <w:ind w:firstLine="720" w:end="0"/>
        <w:rPr/>
      </w:pPr>
      <w:r>
        <w:rPr>
          <w:b/>
          <w:i/>
        </w:rPr>
        <w:t>“</w:t>
      </w:r>
      <w:r>
        <w:rPr>
          <w:b/>
          <w:i/>
        </w:rPr>
        <w:t>Costs”</w:t>
      </w:r>
      <w:r>
        <w:rPr/>
        <w:t xml:space="preserve"> means, with respect to the Non-Defaulting Party, brokerage fees, commissions and other similar third party transaction costs and expenses reasonably incurred by the Non-Defaulting Party in terminating the Agreements, any arrangement executed by the Non-Defaulting Party contemporaneously with the applicable Transaction(s) under the Agreement(s) that is being terminated pursuant to which the Non-Defaulting Party has hedged its obligations; and all reasonable attorneys’ fees incurred by the Non-Defaulting Party in connection with the liquidation and termination of any Transaction and any Agreement.</w:t>
      </w:r>
    </w:p>
    <w:p>
      <w:pPr>
        <w:pStyle w:val="Normal"/>
        <w:widowControl/>
        <w:rPr/>
      </w:pPr>
      <w:r>
        <w:rPr/>
      </w:r>
    </w:p>
    <w:p>
      <w:pPr>
        <w:pStyle w:val="Normal"/>
        <w:widowControl/>
        <w:rPr/>
      </w:pPr>
      <w:r>
        <w:rPr/>
        <w:tab/>
      </w:r>
      <w:r>
        <w:rPr>
          <w:b/>
          <w:i/>
        </w:rPr>
        <w:t>“Credit Rating”</w:t>
      </w:r>
      <w:r>
        <w:rPr/>
        <w:t xml:space="preserve"> means with respect to a Party the respective rating then assigned to its senior, unsecured long-term indebtedness, without third-party credit enhancement, or in the event a Party or  its Credit Support Provider has no such indebtedness,  its then current corporate credit rating as published by a Relevant Rating Agency. </w:t>
      </w:r>
    </w:p>
    <w:p>
      <w:pPr>
        <w:pStyle w:val="Normal"/>
        <w:widowControl/>
        <w:rPr/>
      </w:pPr>
      <w:r>
        <w:rPr/>
      </w:r>
    </w:p>
    <w:p>
      <w:pPr>
        <w:pStyle w:val="Normal"/>
        <w:widowControl/>
        <w:rPr/>
      </w:pPr>
      <w:r>
        <w:rPr/>
        <w:tab/>
      </w:r>
      <w:r>
        <w:rPr>
          <w:b/>
          <w:i/>
        </w:rPr>
        <w:t>“Credit Support Document”</w:t>
      </w:r>
      <w:r>
        <w:rPr/>
        <w:t xml:space="preserve"> of a Party means: (i) a Guaranty, if any, in a form acceptable to the requesting Party (“Requesting Party”) executed and delivered by a Party’s Guarantor; (ii) an Eligible Letter of Credit issued on behalf of such Party; or (iii) any other document acceptable to the Requesting Party executed and delivered to secure, guaranty or otherwise support the Obligations of the other Party pursuant to this Collateral Agreement.</w:t>
      </w:r>
    </w:p>
    <w:p>
      <w:pPr>
        <w:pStyle w:val="Normal"/>
        <w:widowControl/>
        <w:rPr/>
      </w:pPr>
      <w:r>
        <w:rPr/>
      </w:r>
    </w:p>
    <w:p>
      <w:pPr>
        <w:pStyle w:val="Normal"/>
        <w:widowControl/>
        <w:rPr/>
      </w:pPr>
      <w:r>
        <w:rPr/>
        <w:tab/>
      </w:r>
      <w:r>
        <w:rPr>
          <w:b/>
          <w:i/>
        </w:rPr>
        <w:t>“Credit Support Provider”</w:t>
      </w:r>
      <w:r>
        <w:rPr/>
        <w:t xml:space="preserve"> of a Party means the Guarantor with respect to the Obligations of such Party, the issuer of an Eligible Letter of Credit on behalf of such Party pursuant to this Collateral Agreement, or any other person that executes a Credit Support Document on behalf of such Party.  During the term of this Collateral Agreement, either Party may add a Credit Support Provider to guaranty its Obligations under the Agreements so long as such Credit Support Provider is acceptable to the Requesting Party in its sole reasonable discretion.</w:t>
      </w:r>
    </w:p>
    <w:p>
      <w:pPr>
        <w:pStyle w:val="Normal"/>
        <w:widowControl/>
        <w:rPr/>
      </w:pPr>
      <w:r>
        <w:rPr/>
      </w:r>
    </w:p>
    <w:p>
      <w:pPr>
        <w:pStyle w:val="Normal"/>
        <w:widowControl/>
        <w:rPr/>
      </w:pPr>
      <w:r>
        <w:rPr/>
        <w:tab/>
      </w:r>
      <w:r>
        <w:rPr>
          <w:b/>
          <w:i/>
        </w:rPr>
        <w:t xml:space="preserve">“Delivery Amount” </w:t>
      </w:r>
      <w:r>
        <w:rPr/>
        <w:t xml:space="preserve">is defined in </w:t>
      </w:r>
      <w:r>
        <w:rPr>
          <w:u w:val="single"/>
        </w:rPr>
        <w:t>Paragraph 3</w:t>
      </w:r>
      <w:r>
        <w:rPr/>
        <w:t>.</w:t>
      </w:r>
    </w:p>
    <w:p>
      <w:pPr>
        <w:pStyle w:val="Normal"/>
        <w:widowControl/>
        <w:ind w:firstLine="720" w:end="0"/>
        <w:rPr>
          <w:b/>
          <w:i/>
          <w:i/>
        </w:rPr>
      </w:pPr>
      <w:r>
        <w:rPr>
          <w:b/>
          <w:i/>
        </w:rPr>
      </w:r>
    </w:p>
    <w:p>
      <w:pPr>
        <w:pStyle w:val="Normal"/>
        <w:widowControl/>
        <w:ind w:firstLine="720" w:end="0"/>
        <w:rPr>
          <w:b/>
          <w:i/>
          <w:i/>
        </w:rPr>
      </w:pPr>
      <w:r>
        <w:rPr>
          <w:b/>
          <w:i/>
        </w:rPr>
        <w:t xml:space="preserve"> “</w:t>
      </w:r>
      <w:r>
        <w:rPr>
          <w:b/>
          <w:i/>
        </w:rPr>
        <w:t>Eligible Collateral”</w:t>
      </w:r>
      <w:r>
        <w:rPr/>
        <w:t xml:space="preserve"> means: </w:t>
      </w:r>
    </w:p>
    <w:p>
      <w:pPr>
        <w:pStyle w:val="Normal"/>
        <w:widowControl/>
        <w:rPr>
          <w:b/>
          <w:i/>
          <w:i/>
        </w:rPr>
      </w:pPr>
      <w:r>
        <w:rPr>
          <w:b/>
          <w:i/>
        </w:rPr>
      </w:r>
    </w:p>
    <w:p>
      <w:pPr>
        <w:pStyle w:val="Normal"/>
        <w:widowControl/>
        <w:tabs>
          <w:tab w:val="clear" w:pos="720"/>
          <w:tab w:val="left" w:pos="1440" w:leader="none"/>
        </w:tabs>
        <w:rPr/>
      </w:pPr>
      <w:r>
        <w:rPr/>
        <w:tab/>
        <w:t>(a)   Cash;</w:t>
      </w:r>
    </w:p>
    <w:p>
      <w:pPr>
        <w:pStyle w:val="Normal"/>
        <w:widowControl/>
        <w:ind w:start="1440" w:end="0"/>
        <w:rPr/>
      </w:pPr>
      <w:r>
        <w:rPr/>
      </w:r>
    </w:p>
    <w:p>
      <w:pPr>
        <w:pStyle w:val="Normal"/>
        <w:widowControl/>
        <w:numPr>
          <w:ilvl w:val="0"/>
          <w:numId w:val="4"/>
        </w:numPr>
        <w:tabs>
          <w:tab w:val="clear" w:pos="720"/>
          <w:tab w:val="left" w:pos="1440" w:leader="none"/>
        </w:tabs>
        <w:rPr/>
      </w:pPr>
      <w:r>
        <w:rPr/>
        <w:t>Eligible Letter of Credit; or</w:t>
      </w:r>
    </w:p>
    <w:p>
      <w:pPr>
        <w:pStyle w:val="Normal"/>
        <w:widowControl/>
        <w:tabs>
          <w:tab w:val="clear" w:pos="720"/>
          <w:tab w:val="left" w:pos="1440" w:leader="none"/>
        </w:tabs>
        <w:ind w:start="1440" w:end="0"/>
        <w:rPr/>
      </w:pPr>
      <w:r>
        <w:rPr/>
      </w:r>
    </w:p>
    <w:p>
      <w:pPr>
        <w:pStyle w:val="Normal"/>
        <w:widowControl/>
        <w:numPr>
          <w:ilvl w:val="0"/>
          <w:numId w:val="4"/>
        </w:numPr>
        <w:tabs>
          <w:tab w:val="clear" w:pos="720"/>
          <w:tab w:val="left" w:pos="1440" w:leader="none"/>
        </w:tabs>
        <w:rPr/>
      </w:pPr>
      <w:r>
        <w:rPr/>
        <w:t>Other mutually acceptable forms of collateral that may be agreed upon in writing by the Parties.</w:t>
      </w:r>
    </w:p>
    <w:p>
      <w:pPr>
        <w:pStyle w:val="Normal"/>
        <w:widowControl/>
        <w:tabs>
          <w:tab w:val="clear" w:pos="720"/>
          <w:tab w:val="left" w:pos="1440" w:leader="none"/>
        </w:tabs>
        <w:ind w:hanging="1890" w:start="1890" w:end="0"/>
        <w:rPr/>
      </w:pPr>
      <w:r>
        <w:rPr/>
      </w:r>
    </w:p>
    <w:p>
      <w:pPr>
        <w:pStyle w:val="Normal"/>
        <w:widowControl/>
        <w:rPr/>
      </w:pPr>
      <w:r>
        <w:rPr/>
      </w:r>
    </w:p>
    <w:p>
      <w:pPr>
        <w:pStyle w:val="Normal"/>
        <w:widowControl/>
        <w:ind w:start="720" w:end="0"/>
        <w:rPr/>
      </w:pPr>
      <w:r>
        <w:rPr/>
        <w:t>Eligible Collateral consisting of Cash and Eligible Letters of Credit shall be valued at the face amount thereof minus any drawn portion with respect to Eligible Letters of Credit; provided however, in the event Eligible Letters of Credit are scheduled to expire within Thirty Business Days they shall be valued at zero.  The Parties will mutually agree upon the value of any other mutually acceptable forms of collateral qualifying as Eligible Collateral.</w:t>
      </w:r>
    </w:p>
    <w:p>
      <w:pPr>
        <w:pStyle w:val="Normal"/>
        <w:widowControl/>
        <w:rPr/>
      </w:pPr>
      <w:r>
        <w:rPr/>
      </w:r>
    </w:p>
    <w:p>
      <w:pPr>
        <w:pStyle w:val="NormalIndent"/>
        <w:widowControl/>
        <w:ind w:firstLine="720" w:start="0" w:end="0"/>
        <w:jc w:val="both"/>
        <w:rPr/>
      </w:pPr>
      <w:r>
        <w:rPr>
          <w:b/>
          <w:i/>
        </w:rPr>
        <w:t>“</w:t>
      </w:r>
      <w:r>
        <w:rPr>
          <w:b/>
          <w:i/>
        </w:rPr>
        <w:t>Eligible Letter of Credit”</w:t>
      </w:r>
      <w:r>
        <w:rPr/>
        <w:t xml:space="preserve"> means a direct-pay, irrevocable standby letter of credit in form and substance satisfactory to Requesting Party, acting in a commercially reasonable manner, issued by a financial institution having an office in the United States, with total assets of at least $10,000,000,000 and whose general long-term unsubordinated unsecured debt is at such time rated at least “A-” by S&amp;P and at least “A3” by Moody’s; in the event such a commercial bank is rated by only one of S&amp;P or Moody’s, eligibility will be based on the available rating (hereinafter referred to as a “Qualified Financial Institution”).</w:t>
      </w:r>
    </w:p>
    <w:p>
      <w:pPr>
        <w:pStyle w:val="NormalIndent"/>
        <w:widowControl/>
        <w:ind w:firstLine="720" w:start="0" w:end="0"/>
        <w:jc w:val="both"/>
        <w:rPr/>
      </w:pPr>
      <w:r>
        <w:rPr>
          <w:b/>
          <w:i/>
        </w:rPr>
        <w:t>“</w:t>
      </w:r>
      <w:r>
        <w:rPr>
          <w:b/>
          <w:i/>
        </w:rPr>
        <w:t>Eligible Custodian”</w:t>
      </w:r>
      <w:r>
        <w:rPr/>
        <w:t xml:space="preserve"> means any Qualified Financial Institution.</w:t>
      </w:r>
    </w:p>
    <w:p>
      <w:pPr>
        <w:pStyle w:val="Normal"/>
        <w:widowControl/>
        <w:tabs>
          <w:tab w:val="clear" w:pos="720"/>
          <w:tab w:val="left" w:pos="180" w:leader="none"/>
        </w:tabs>
        <w:ind w:start="1440" w:end="0"/>
        <w:rPr/>
      </w:pPr>
      <w:r>
        <w:rPr/>
      </w:r>
    </w:p>
    <w:p>
      <w:pPr>
        <w:pStyle w:val="Normal"/>
        <w:ind w:firstLine="720" w:end="0"/>
        <w:rPr/>
      </w:pPr>
      <w:r>
        <w:rPr>
          <w:b/>
          <w:i/>
        </w:rPr>
        <w:t>“</w:t>
      </w:r>
      <w:r>
        <w:rPr>
          <w:b/>
          <w:i/>
        </w:rPr>
        <w:t>Gains”</w:t>
      </w:r>
      <w:r>
        <w:rPr/>
        <w:t xml:space="preserve"> means, with respect to any Party, an amount equal to the present value (calculated using the Present Value Rate set forth below) of the economic benefit, if any (exclusive of Costs), to it resulting from the termination of its Obligations with respect to a liquidated and terminated Transaction, determined in a commercially reasonable manner. </w:t>
      </w:r>
    </w:p>
    <w:p>
      <w:pPr>
        <w:pStyle w:val="Normal"/>
        <w:widowControl/>
        <w:rPr/>
      </w:pPr>
      <w:r>
        <w:rPr/>
      </w:r>
    </w:p>
    <w:p>
      <w:pPr>
        <w:pStyle w:val="Normal"/>
        <w:widowControl/>
        <w:rPr/>
      </w:pPr>
      <w:r>
        <w:rPr/>
        <w:tab/>
      </w:r>
      <w:r>
        <w:rPr>
          <w:b/>
          <w:i/>
        </w:rPr>
        <w:t>“Guarantor”</w:t>
      </w:r>
      <w:r>
        <w:rPr/>
        <w:t xml:space="preserve"> means:</w:t>
      </w:r>
    </w:p>
    <w:p>
      <w:pPr>
        <w:pStyle w:val="Normal"/>
        <w:widowControl/>
        <w:numPr>
          <w:ilvl w:val="0"/>
          <w:numId w:val="5"/>
        </w:numPr>
        <w:tabs>
          <w:tab w:val="clear" w:pos="720"/>
          <w:tab w:val="left" w:pos="1440" w:leader="none"/>
        </w:tabs>
        <w:rPr/>
      </w:pPr>
      <w:r>
        <w:rPr/>
        <w:t>with respect to Counterparty, Enron Corporation; and</w:t>
      </w:r>
    </w:p>
    <w:p>
      <w:pPr>
        <w:pStyle w:val="Footer"/>
        <w:widowControl/>
        <w:tabs>
          <w:tab w:val="clear" w:pos="4680"/>
          <w:tab w:val="clear" w:pos="9360"/>
          <w:tab w:val="left" w:pos="1440" w:leader="none"/>
          <w:tab w:val="left" w:pos="1800" w:leader="none"/>
        </w:tabs>
        <w:rPr/>
      </w:pPr>
      <w:r>
        <w:rPr/>
        <w:tab/>
        <w:t>(b)</w:t>
        <w:tab/>
        <w:t xml:space="preserve">with respect to DETM, Not Applicable.   </w:t>
      </w:r>
    </w:p>
    <w:p>
      <w:pPr>
        <w:pStyle w:val="Normal"/>
        <w:widowControl/>
        <w:tabs>
          <w:tab w:val="clear" w:pos="720"/>
          <w:tab w:val="left" w:pos="1440" w:leader="none"/>
        </w:tabs>
        <w:rPr/>
      </w:pPr>
      <w:r>
        <w:rPr/>
        <w:tab/>
        <w:tab/>
        <w:tab/>
        <w:tab/>
        <w:tab/>
      </w:r>
    </w:p>
    <w:p>
      <w:pPr>
        <w:pStyle w:val="Normal"/>
        <w:widowControl/>
        <w:rPr/>
      </w:pPr>
      <w:r>
        <w:rPr/>
        <w:tab/>
      </w:r>
      <w:r>
        <w:rPr>
          <w:b/>
          <w:i/>
        </w:rPr>
        <w:t>“Guaranty”</w:t>
      </w:r>
      <w:r>
        <w:rPr/>
        <w:t xml:space="preserve"> means a guaranty, in a form acceptable to the receiving Party, acting in a commercially reasonable manner, of a Party’s payment Obligations issued by such Party’s Guarantor to the other Party.</w:t>
      </w:r>
    </w:p>
    <w:p>
      <w:pPr>
        <w:pStyle w:val="Normal"/>
        <w:widowControl/>
        <w:tabs>
          <w:tab w:val="clear" w:pos="720"/>
          <w:tab w:val="left" w:pos="1800" w:leader="none"/>
        </w:tabs>
        <w:rPr/>
      </w:pPr>
      <w:r>
        <w:rPr/>
      </w:r>
    </w:p>
    <w:p>
      <w:pPr>
        <w:pStyle w:val="Normal"/>
        <w:widowControl/>
        <w:tabs>
          <w:tab w:val="clear" w:pos="720"/>
          <w:tab w:val="left" w:pos="1800" w:leader="none"/>
        </w:tabs>
        <w:rPr/>
      </w:pPr>
      <w:r>
        <w:rPr/>
      </w:r>
    </w:p>
    <w:p>
      <w:pPr>
        <w:pStyle w:val="Normal"/>
        <w:widowControl/>
        <w:tabs>
          <w:tab w:val="clear" w:pos="720"/>
          <w:tab w:val="left" w:pos="-1080" w:leader="none"/>
          <w:tab w:val="left" w:pos="-720" w:leader="none"/>
          <w:tab w:val="left" w:pos="0" w:leader="none"/>
          <w:tab w:val="left" w:pos="1350" w:leader="none"/>
          <w:tab w:val="left" w:pos="2880" w:leader="none"/>
          <w:tab w:val="left" w:pos="3600" w:leader="none"/>
          <w:tab w:val="left" w:pos="4500" w:leader="none"/>
          <w:tab w:val="left" w:pos="6750" w:leader="none"/>
          <w:tab w:val="left" w:pos="7200" w:leader="none"/>
          <w:tab w:val="left" w:pos="7560" w:leader="none"/>
          <w:tab w:val="right" w:pos="8370" w:leader="none"/>
        </w:tabs>
        <w:ind w:firstLine="720" w:end="0"/>
        <w:rPr/>
      </w:pPr>
      <w:r>
        <w:rPr>
          <w:b/>
          <w:i/>
        </w:rPr>
        <w:t>“</w:t>
      </w:r>
      <w:r>
        <w:rPr>
          <w:b/>
          <w:i/>
        </w:rPr>
        <w:t xml:space="preserve">Interest Rate” </w:t>
      </w:r>
      <w:r>
        <w:rPr/>
        <w:t>will be a per annum rate of interest equal to the Federal Funds Rate.  “Federal Funds Rate” means, for any day, an interest rate per annum equal to either (A) the rate published as the Overnight Federal Funds Effective Rate that appears on the Telerate Page 118 for such day (or, if such day is not a Business Day, for the preceding Business Day) or (B) if such rate is not so published for any day which is a Business Day, the Federal Funds Rate as published by the Federal Reserve Bank in H.15 (519).</w:t>
      </w:r>
    </w:p>
    <w:p>
      <w:pPr>
        <w:pStyle w:val="Normal"/>
        <w:widowControl/>
        <w:ind w:firstLine="720" w:end="0"/>
        <w:rPr/>
      </w:pPr>
      <w:r>
        <w:rPr/>
      </w:r>
    </w:p>
    <w:p>
      <w:pPr>
        <w:pStyle w:val="Normal"/>
        <w:ind w:firstLine="720" w:end="0"/>
        <w:rPr/>
      </w:pPr>
      <w:r>
        <w:rPr>
          <w:b/>
          <w:i/>
        </w:rPr>
        <w:t>“</w:t>
      </w:r>
      <w:r>
        <w:rPr>
          <w:b/>
          <w:i/>
        </w:rPr>
        <w:t>Losses”</w:t>
      </w:r>
      <w:r>
        <w:rPr/>
        <w:t xml:space="preserve"> means, with respect to any Party, an amount equal to the present value (calculated using the Present Value Rate set forth below) of the economic loss, if any (exclusive of Costs), to it resulting from the termination of its Obligations with respect to a liquidated and terminated Transaction, determined in a commercially reasonable manner.  </w:t>
      </w:r>
    </w:p>
    <w:p>
      <w:pPr>
        <w:pStyle w:val="Normal"/>
        <w:widowControl/>
        <w:rPr/>
      </w:pPr>
      <w:r>
        <w:rPr/>
      </w:r>
    </w:p>
    <w:p>
      <w:pPr>
        <w:pStyle w:val="Normal"/>
        <w:widowControl/>
        <w:rPr/>
      </w:pPr>
      <w:r>
        <w:rPr/>
        <w:tab/>
      </w:r>
      <w:r>
        <w:rPr>
          <w:b/>
          <w:i/>
        </w:rPr>
        <w:t>“Net Settlement Amount”</w:t>
      </w:r>
      <w:r>
        <w:rPr/>
        <w:t xml:space="preserve"> means the net amount that would be owed by one Party to the other Party if all outstanding Transactions entered into under all Agreements were liquidated and terminated pursuant to the terms of the governing Agreement plus all amounts owed but not yet invoiced or paid, or, if the Agreement does not provide for the calculation of a termination payment, then the amount calculated in the following manner:</w:t>
      </w:r>
    </w:p>
    <w:p>
      <w:pPr>
        <w:pStyle w:val="Normal"/>
        <w:ind w:firstLine="720" w:end="0"/>
        <w:rPr/>
      </w:pPr>
      <w:r>
        <w:rPr/>
      </w:r>
    </w:p>
    <w:p>
      <w:pPr>
        <w:pStyle w:val="Normal"/>
        <w:ind w:firstLine="720" w:end="0"/>
        <w:rPr/>
      </w:pPr>
      <w:r>
        <w:rPr/>
        <w:t>The Non</w:t>
        <w:noBreakHyphen/>
        <w:t>Defaulting Party or the Requesting Party shall calculate, in a commercially reasonable manner, a Settlement Amount for each such Transaction as of the date of the liquidation and termination or date of calculation when determining the Performance Amount.  The Non-Defaulting Party or Requesting Party shall aggregate all Settlement Amounts into a single amount by: netting out (a) all Settlement Amounts that are owed to the Defaulting Party or Posting Party, plus all other amounts owed to the Defaulting Party or Posting Party under the Agreement(s) whether invoiced or not, against (b) all Settlement Amounts that are owed to the Non</w:t>
        <w:noBreakHyphen/>
        <w:t>Defaulting Party or Requesting Party, plus all other amounts owed to the Non-Defaulting Party or Requesting Party under the Agreement(s) whether invoiced or not, so that all such amounts shall be netted out to a single liquidated amount payable by one Party to the other (“Net Settlement Amount”).  The Net Settlement Amount shall be due to, or due from, the Non</w:t>
        <w:noBreakHyphen/>
        <w:t>Defaulting Party and/or Requesting Party as appropriate.</w:t>
      </w:r>
    </w:p>
    <w:p>
      <w:pPr>
        <w:pStyle w:val="Normal"/>
        <w:ind w:firstLine="720" w:end="0"/>
        <w:rPr/>
      </w:pPr>
      <w:r>
        <w:rPr/>
      </w:r>
    </w:p>
    <w:p>
      <w:pPr>
        <w:pStyle w:val="Normal"/>
        <w:widowControl/>
        <w:rPr/>
      </w:pPr>
      <w:r>
        <w:rPr/>
        <w:tab/>
      </w:r>
      <w:r>
        <w:rPr>
          <w:b/>
          <w:i/>
        </w:rPr>
        <w:t>“Obligations”</w:t>
      </w:r>
      <w:r>
        <w:rPr/>
        <w:t xml:space="preserve"> of a Party means all present and future obligations of such Party hereunder and under the Agreement(s).</w:t>
      </w:r>
    </w:p>
    <w:p>
      <w:pPr>
        <w:pStyle w:val="Normal"/>
        <w:widowControl/>
        <w:rPr/>
      </w:pPr>
      <w:r>
        <w:rPr/>
      </w:r>
    </w:p>
    <w:p>
      <w:pPr>
        <w:pStyle w:val="Normal"/>
        <w:widowControl/>
        <w:ind w:firstLine="720" w:end="0"/>
        <w:rPr/>
      </w:pPr>
      <w:r>
        <w:rPr>
          <w:b/>
          <w:i/>
        </w:rPr>
        <w:t>“</w:t>
      </w:r>
      <w:r>
        <w:rPr>
          <w:b/>
          <w:i/>
        </w:rPr>
        <w:t>Performance Amount”</w:t>
      </w:r>
      <w:r>
        <w:rPr/>
        <w:t xml:space="preserve"> with respect to a Party at any time means the Net Settlement Amount, absent Costs, if such would be owed by the Party.</w:t>
      </w:r>
    </w:p>
    <w:p>
      <w:pPr>
        <w:pStyle w:val="Normal"/>
        <w:widowControl/>
        <w:rPr/>
      </w:pPr>
      <w:r>
        <w:rPr/>
      </w:r>
    </w:p>
    <w:p>
      <w:pPr>
        <w:pStyle w:val="Normal"/>
        <w:widowControl/>
        <w:rPr>
          <w:u w:val="single"/>
        </w:rPr>
      </w:pPr>
      <w:r>
        <w:rPr/>
        <w:tab/>
      </w:r>
      <w:r>
        <w:rPr>
          <w:b/>
          <w:i/>
        </w:rPr>
        <w:t xml:space="preserve">“Posted Collateral” </w:t>
      </w:r>
      <w:r>
        <w:rPr/>
        <w:t>means all Eligible Collateral in the custody of a Requesting Party or such Requesting Party’s designated Eligible Custodian.</w:t>
      </w:r>
    </w:p>
    <w:p>
      <w:pPr>
        <w:pStyle w:val="Normal"/>
        <w:widowControl/>
        <w:rPr>
          <w:u w:val="single"/>
        </w:rPr>
      </w:pPr>
      <w:r>
        <w:rPr>
          <w:u w:val="single"/>
        </w:rPr>
      </w:r>
    </w:p>
    <w:p>
      <w:pPr>
        <w:pStyle w:val="Normal"/>
        <w:widowControl/>
        <w:rPr/>
      </w:pPr>
      <w:r>
        <w:rPr/>
        <w:tab/>
      </w:r>
      <w:r>
        <w:rPr>
          <w:b/>
          <w:i/>
        </w:rPr>
        <w:t>“Posting Party”</w:t>
      </w:r>
      <w:r>
        <w:rPr/>
        <w:t xml:space="preserve"> is defined in </w:t>
      </w:r>
      <w:r>
        <w:rPr>
          <w:u w:val="single"/>
        </w:rPr>
        <w:t>Paragraph 3.</w:t>
      </w:r>
    </w:p>
    <w:p>
      <w:pPr>
        <w:pStyle w:val="Normal"/>
        <w:widowControl/>
        <w:rPr>
          <w:u w:val="single"/>
        </w:rPr>
      </w:pPr>
      <w:r>
        <w:rPr>
          <w:u w:val="single"/>
        </w:rPr>
      </w:r>
    </w:p>
    <w:p>
      <w:pPr>
        <w:pStyle w:val="Normal"/>
        <w:widowControl/>
        <w:ind w:firstLine="720" w:end="0"/>
        <w:rPr/>
      </w:pPr>
      <w:r>
        <w:rPr>
          <w:b/>
          <w:i/>
        </w:rPr>
        <w:t>“</w:t>
      </w:r>
      <w:r>
        <w:rPr>
          <w:b/>
          <w:i/>
        </w:rPr>
        <w:t>Present Value Rate”</w:t>
      </w:r>
      <w:r>
        <w:rPr/>
        <w:t xml:space="preserve"> shall mean the sum of 0.50% plus the yield reported on page “USD” of the Bloomberg Financial Markets Services Screen (or, if not available, any other nationally recognized trading screen reporting on-line intraday trading in United States government securities) at 11:00 a.m. (New York City, New York time) for the United States government securities having a maturity date that matches the average remaining term of the Terminated Transactions.</w:t>
      </w:r>
    </w:p>
    <w:p>
      <w:pPr>
        <w:pStyle w:val="Normal"/>
        <w:widowControl/>
        <w:rPr/>
      </w:pPr>
      <w:r>
        <w:rPr/>
      </w:r>
    </w:p>
    <w:p>
      <w:pPr>
        <w:pStyle w:val="Normal"/>
        <w:widowControl/>
        <w:rPr/>
      </w:pPr>
      <w:r>
        <w:rPr/>
        <w:tab/>
      </w:r>
      <w:r>
        <w:rPr>
          <w:b/>
          <w:i/>
        </w:rPr>
        <w:t>"Relevant Rating Agency"</w:t>
      </w:r>
      <w:r>
        <w:rPr/>
        <w:t xml:space="preserve"> means each of Moody's Investor Services, Inc. ("Moody's"), and Standard and Poor's Ratings Group, a division of McGraw Hill, Inc. ("S&amp;P"), or any successor thereto.</w:t>
      </w:r>
    </w:p>
    <w:p>
      <w:pPr>
        <w:pStyle w:val="Footer"/>
        <w:widowControl/>
        <w:tabs>
          <w:tab w:val="clear" w:pos="4680"/>
          <w:tab w:val="clear" w:pos="9360"/>
        </w:tabs>
        <w:rPr/>
      </w:pPr>
      <w:r>
        <w:rPr/>
      </w:r>
    </w:p>
    <w:p>
      <w:pPr>
        <w:pStyle w:val="Normal"/>
        <w:widowControl/>
        <w:rPr/>
      </w:pPr>
      <w:r>
        <w:rPr/>
        <w:tab/>
        <w:t>“</w:t>
      </w:r>
      <w:r>
        <w:rPr>
          <w:b/>
          <w:i/>
        </w:rPr>
        <w:t>Requesting Party”</w:t>
      </w:r>
      <w:r>
        <w:rPr/>
        <w:t xml:space="preserve"> is defined in </w:t>
      </w:r>
      <w:r>
        <w:rPr>
          <w:u w:val="single"/>
        </w:rPr>
        <w:t>Paragraph 3</w:t>
      </w:r>
      <w:r>
        <w:rPr/>
        <w:t xml:space="preserve">. </w:t>
      </w:r>
    </w:p>
    <w:p>
      <w:pPr>
        <w:pStyle w:val="Normal"/>
        <w:widowControl/>
        <w:rPr/>
      </w:pPr>
      <w:r>
        <w:rPr/>
      </w:r>
    </w:p>
    <w:p>
      <w:pPr>
        <w:pStyle w:val="Normal"/>
        <w:widowControl/>
        <w:rPr>
          <w:u w:val="single"/>
        </w:rPr>
      </w:pPr>
      <w:r>
        <w:rPr/>
        <w:tab/>
      </w:r>
      <w:r>
        <w:rPr>
          <w:b/>
          <w:i/>
        </w:rPr>
        <w:t xml:space="preserve">“Return Amount” </w:t>
      </w:r>
      <w:r>
        <w:rPr/>
        <w:t xml:space="preserve">is defined in </w:t>
      </w:r>
      <w:r>
        <w:rPr>
          <w:u w:val="single"/>
        </w:rPr>
        <w:t>Paragraph 3</w:t>
      </w:r>
      <w:r>
        <w:rPr/>
        <w:t>.</w:t>
      </w:r>
    </w:p>
    <w:p>
      <w:pPr>
        <w:pStyle w:val="Normal"/>
        <w:widowControl/>
        <w:rPr>
          <w:u w:val="single"/>
        </w:rPr>
      </w:pPr>
      <w:r>
        <w:rPr>
          <w:u w:val="single"/>
        </w:rPr>
      </w:r>
    </w:p>
    <w:p>
      <w:pPr>
        <w:pStyle w:val="Normal"/>
        <w:widowControl/>
        <w:rPr/>
      </w:pPr>
      <w:r>
        <w:rPr/>
        <w:tab/>
      </w:r>
      <w:r>
        <w:rPr>
          <w:b/>
          <w:i/>
        </w:rPr>
        <w:t>“Settlement Amount”</w:t>
      </w:r>
      <w:r>
        <w:rPr/>
        <w:t xml:space="preserve"> means the Losses, or Gains, and Costs, expressed in U.S. Dollars, which such Party would incur as a result of the liquidation and termination of a Transaction.  If the applicable Agreement calculates losses, or gains, and costs in a manner different from this Collateral Agreement than losses, or gains, and costs shall be calculated in accordance with the applicable Agreement.</w:t>
      </w:r>
    </w:p>
    <w:p>
      <w:pPr>
        <w:pStyle w:val="Normal"/>
        <w:widowControl/>
        <w:rPr/>
      </w:pPr>
      <w:r>
        <w:rPr/>
      </w:r>
    </w:p>
    <w:p>
      <w:pPr>
        <w:pStyle w:val="Normal"/>
        <w:widowControl/>
        <w:rPr/>
      </w:pPr>
      <w:r>
        <w:rPr/>
        <w:tab/>
      </w:r>
      <w:r>
        <w:rPr>
          <w:b/>
          <w:i/>
        </w:rPr>
        <w:t>“Transaction</w:t>
      </w:r>
      <w:r>
        <w:rPr>
          <w:i/>
        </w:rPr>
        <w:t>”</w:t>
      </w:r>
      <w:r>
        <w:rPr/>
        <w:t xml:space="preserve"> means any agreement  for the purchase or sale of natural gas or power (including but not limited to energy, capacity and ancillary service products) under the Agreements.</w:t>
      </w:r>
    </w:p>
    <w:p>
      <w:pPr>
        <w:pStyle w:val="Footer"/>
        <w:widowControl/>
        <w:tabs>
          <w:tab w:val="clear" w:pos="4680"/>
          <w:tab w:val="clear" w:pos="9360"/>
        </w:tabs>
        <w:rPr/>
      </w:pPr>
      <w:r>
        <w:rPr/>
      </w:r>
    </w:p>
    <w:p>
      <w:pPr>
        <w:pStyle w:val="Normal"/>
        <w:rPr/>
      </w:pPr>
      <w:r>
        <w:rPr>
          <w:b/>
        </w:rPr>
        <w:t>Paragraph 3.</w:t>
        <w:tab/>
      </w:r>
      <w:r>
        <w:rPr>
          <w:b/>
          <w:u w:val="single"/>
        </w:rPr>
        <w:t>Collateral Requirement</w:t>
      </w:r>
      <w:r>
        <w:rPr>
          <w:b/>
        </w:rPr>
        <w:t>.</w:t>
      </w:r>
    </w:p>
    <w:p>
      <w:pPr>
        <w:pStyle w:val="Normal"/>
        <w:tabs>
          <w:tab w:val="left" w:pos="720" w:leader="none"/>
        </w:tabs>
        <w:rPr/>
      </w:pPr>
      <w:r>
        <w:rPr/>
      </w:r>
    </w:p>
    <w:p>
      <w:pPr>
        <w:pStyle w:val="Normal"/>
        <w:tabs>
          <w:tab w:val="left" w:pos="720" w:leader="none"/>
        </w:tabs>
        <w:rPr/>
      </w:pPr>
      <w:r>
        <w:rPr/>
        <w:t>(a)    If at any time and from time to time during the term of this Collateral Agreement, the Performance Amount of a Party (“Posting Party”) exceeds the Posting Party’s Collateral Threshold Amount, then the other Party (“Requesting Party”) on any Business Day, may request the Posting Party to provide Eligible Collateral in an amount equal to the excess of the Performance Amount over Posting Party’s Collateral Threshold Amount (the “Delivery Amount”) subject to the terms of the “Rounding Convention” in Paragraph 5.</w:t>
      </w:r>
    </w:p>
    <w:p>
      <w:pPr>
        <w:pStyle w:val="Normal"/>
        <w:ind w:start="1440" w:end="0"/>
        <w:rPr/>
      </w:pPr>
      <w:r>
        <w:rPr/>
      </w:r>
    </w:p>
    <w:p>
      <w:pPr>
        <w:pStyle w:val="BodyText3"/>
        <w:widowControl/>
        <w:jc w:val="both"/>
        <w:rPr/>
      </w:pPr>
      <w:r>
        <w:rPr/>
        <w:t>(b)</w:t>
        <w:tab/>
        <w:t xml:space="preserve">The Delivery Amount shall be delivered by the close of business on the Business Day following the receipt by the Posting Party of a facsimile request if such request is sent by the Requesting Party before 11:00 AM Central time. If such request is sent after 11:00 A.M. Central time it shall be due by the close of business on the second Business Day following the request.  In the event the Posting Party’s Performance Amount falls below the Posting Party’s Collateral Threshold Amount plus the Posting Party’s Posted Collateral, then the Posting Party may, at its sole cost and no more frequently than daily with respect to Cash and weekly with respect to Eligible Letters of Credit, request that the Requesting Party return or release Eligible Collateral in the amount that (A) the Posting Party’s Posted Collateral then exceeds (B) the Posting Party's Performance Amount less the Posting Party’s Collateral Threshold (“Return Amount”), </w:t>
      </w:r>
      <w:r>
        <w:rPr>
          <w:color w:val="000000"/>
        </w:rPr>
        <w:t xml:space="preserve">subject to the terms of </w:t>
      </w:r>
      <w:r>
        <w:rPr>
          <w:color w:val="000000"/>
          <w:u w:val="single"/>
        </w:rPr>
        <w:t>Paragraph 5</w:t>
      </w:r>
      <w:r>
        <w:rPr>
          <w:color w:val="000000"/>
        </w:rPr>
        <w:t xml:space="preserve"> (Rounding Convention)</w:t>
      </w:r>
      <w:r>
        <w:rPr/>
        <w:t xml:space="preserve">.  The returned Eligible Collateral shall be delivered or released by the close of business on the Business Day following the receipt by the Requesting Party of a facsimile request if such facsimile request is sent by the Posting Party before  11:00 AM Central times.  If such request is sent after 11:00 AM Central time the returned Eligible Collateral shall be due the close of business on the second Business Day following the request. </w:t>
      </w:r>
    </w:p>
    <w:p>
      <w:pPr>
        <w:pStyle w:val="Normal"/>
        <w:widowControl/>
        <w:rPr/>
      </w:pPr>
      <w:r>
        <w:rPr/>
      </w:r>
    </w:p>
    <w:p>
      <w:pPr>
        <w:pStyle w:val="Normal"/>
        <w:widowControl/>
        <w:rPr/>
      </w:pPr>
      <w:r>
        <w:rPr>
          <w:b/>
        </w:rPr>
        <w:t>Paragraph 4.</w:t>
      </w:r>
      <w:r>
        <w:rPr/>
        <w:tab/>
      </w:r>
      <w:r>
        <w:rPr>
          <w:b/>
          <w:u w:val="single"/>
        </w:rPr>
        <w:t>Security Interest</w:t>
      </w:r>
      <w:r>
        <w:rPr>
          <w:b/>
        </w:rPr>
        <w:t>.</w:t>
      </w:r>
      <w:r>
        <w:rPr/>
        <w:t xml:space="preserve">  Each Party, as Posting Party, hereby grants the other Party, as Requesting Party, a first priority, continuing security interest in, lien on and right of set-off against all Posted Collateral received pursuant to </w:t>
      </w:r>
      <w:r>
        <w:rPr>
          <w:u w:val="single"/>
        </w:rPr>
        <w:t xml:space="preserve">Paragraph 3.  </w:t>
      </w:r>
      <w:r>
        <w:rPr/>
        <w:t xml:space="preserve">Upon the return of any Posted Collateral to the Posting Party pursuant to </w:t>
      </w:r>
      <w:r>
        <w:rPr>
          <w:u w:val="single"/>
        </w:rPr>
        <w:t>Paragraph 3</w:t>
      </w:r>
      <w:r>
        <w:rPr/>
        <w:t>, the security interest in, lien on and right of set-off against such Posted Collateral in favor of Requesting Party shall be released and shall terminate without any further action by any Party.</w:t>
      </w:r>
    </w:p>
    <w:p>
      <w:pPr>
        <w:pStyle w:val="Normal"/>
        <w:widowControl/>
        <w:rPr/>
      </w:pPr>
      <w:r>
        <w:rPr/>
      </w:r>
    </w:p>
    <w:p>
      <w:pPr>
        <w:pStyle w:val="Normal"/>
        <w:widowControl/>
        <w:rPr/>
      </w:pPr>
      <w:r>
        <w:rPr>
          <w:b/>
        </w:rPr>
        <w:t>Paragraph 5.</w:t>
      </w:r>
      <w:r>
        <w:rPr/>
        <w:tab/>
      </w:r>
      <w:r>
        <w:rPr>
          <w:b/>
          <w:u w:val="single"/>
        </w:rPr>
        <w:t>Rounding Convention</w:t>
      </w:r>
      <w:r>
        <w:rPr>
          <w:b/>
        </w:rPr>
        <w:t>.</w:t>
      </w:r>
      <w:r>
        <w:rPr/>
        <w:t xml:space="preserve">  The amount of Eligible Collateral that is required to be delivered or maintained pursuant to </w:t>
      </w:r>
      <w:r>
        <w:rPr>
          <w:u w:val="single"/>
        </w:rPr>
        <w:t>Paragraph 3</w:t>
      </w:r>
      <w:r>
        <w:rPr/>
        <w:t xml:space="preserve"> of this Collateral Agreement shall be rounded upwards to the next integer multiple of $100,000 and the amount of Eligible Collateral that is required to be returned pursuant to </w:t>
      </w:r>
      <w:r>
        <w:rPr>
          <w:u w:val="single"/>
        </w:rPr>
        <w:t>Paragraph 3</w:t>
      </w:r>
      <w:r>
        <w:rPr/>
        <w:t xml:space="preserve"> shall be rounded downwards to the next integer multiple of $100,000; provided, that any Return Amount that is less than $100,000 will be rounded down to zero until such time as the Posting Party’s Performance Amount is less than its Collateral Threshold and the remainder of the Eligible Collateral shall be returned.</w:t>
      </w:r>
    </w:p>
    <w:p>
      <w:pPr>
        <w:pStyle w:val="Normal"/>
        <w:widowControl/>
        <w:rPr/>
      </w:pPr>
      <w:r>
        <w:rPr/>
      </w:r>
    </w:p>
    <w:p>
      <w:pPr>
        <w:pStyle w:val="Normal"/>
        <w:rPr/>
      </w:pPr>
      <w:r>
        <w:rPr>
          <w:b/>
        </w:rPr>
        <w:t xml:space="preserve">Paragraph 6.  </w:t>
      </w:r>
      <w:r>
        <w:rPr>
          <w:b/>
          <w:u w:val="single"/>
        </w:rPr>
        <w:t>Disputes Regarding Calculation of Performance Amount.</w:t>
      </w:r>
      <w:r>
        <w:rPr/>
        <w:t xml:space="preserve">  If the Posting Party disputes the Requesting Party’s calculation of the Performance Amount, it will notify the Requesting Party in writing not later than the close of business on the Business Day following the date demand is made and the Posting Party shall deliver to the Requesting Party the undisputed portion of the Delivery Amount requested within the time period set forth in Paragraph 3. Regarding the disputed portion of the Delivery Amount originally requested, the Parties agree to negotiate in good faith for a period not to exceed  (2) Business Days to determine the amount of additional Eligible Collateral the Posting Party shall be required to deliver.  If the Parties cannot mutually agree upon such amount after such time, then the Requesting Party shall obtain quotations from two (2) mutually acceptable independent brokers for the marked-to-market value all of the relevant Transactions and shall provide copies of such quotations to the Posting Party.  The Parties shall then use the arithmetic average of the average of the bid/ask broker quotations to compute the amount of additional Eligible Collateral which should be transferred to the Requesting Party.  In the event a broker(s) requires compensation for rendering the services set forth herein, the Parties will split the required compensation on a fifty/fifty basis.</w:t>
      </w:r>
    </w:p>
    <w:p>
      <w:pPr>
        <w:pStyle w:val="Normal"/>
        <w:rPr/>
      </w:pPr>
      <w:r>
        <w:rPr/>
      </w:r>
    </w:p>
    <w:p>
      <w:pPr>
        <w:pStyle w:val="Footer"/>
        <w:widowControl/>
        <w:tabs>
          <w:tab w:val="clear" w:pos="4680"/>
          <w:tab w:val="clear" w:pos="9360"/>
        </w:tabs>
        <w:rPr/>
      </w:pPr>
      <w:r>
        <w:rPr/>
      </w:r>
    </w:p>
    <w:p>
      <w:pPr>
        <w:pStyle w:val="Normal"/>
        <w:widowControl/>
        <w:rPr/>
      </w:pPr>
      <w:r>
        <w:rPr>
          <w:b/>
        </w:rPr>
        <w:t>Paragraph 7.</w:t>
        <w:tab/>
      </w:r>
      <w:r>
        <w:rPr>
          <w:b/>
          <w:u w:val="single"/>
        </w:rPr>
        <w:t>Care and Substitution of Posted Collateral</w:t>
      </w:r>
      <w:r>
        <w:rPr>
          <w:b/>
        </w:rPr>
        <w:t xml:space="preserve">.  </w:t>
      </w:r>
      <w:r>
        <w:rPr/>
        <w:t xml:space="preserve">The Requesting Party shall exercise reasonable care to assure the safe custody of all Posted Collateral to the extent required by applicable law, and, in any event, the Requesting Party will be deemed to have exercised reasonable care if it exercises at least the same degree of care as it would exercise with respect to its own property.  The Requesting Party will be entitled to hold Posted Collateral or, at its option and with notice to the Posting Party, to appoint an Eligible Custodian as custodian to hold such Posted Collateral on its behalf.  All reasonable costs and expenses of the custodian shall be for the account of the Requesting Party. Upon one (1) Business Day’s prior written notice to the Requesting Party specifying the items of Posted Collateral to be exchanged, the Posting Party may, on any Business Day, transfer to the Requesting Party substitute Eligible Collateral; and if no Event of Default has occurred with respect to the Posting Party, the Requesting Party will transfer to the Posting Party the items of Posted Collateral specified by the Posting Party in its notice not later than 1 PM Central time on the Business Day following the date on which the Requesting Party receives the substitute Eligible Collateral; </w:t>
      </w:r>
      <w:r>
        <w:rPr>
          <w:i/>
        </w:rPr>
        <w:t>provided</w:t>
      </w:r>
      <w:r>
        <w:rPr/>
        <w:t xml:space="preserve"> that the Requesting Party will only be obligated to transfer Posted Collateral in an amount equal to the value of the Eligible Collateral which it replaces.</w:t>
      </w:r>
    </w:p>
    <w:p>
      <w:pPr>
        <w:pStyle w:val="Normal"/>
        <w:widowControl/>
        <w:rPr/>
      </w:pPr>
      <w:r>
        <w:rPr/>
      </w:r>
    </w:p>
    <w:p>
      <w:pPr>
        <w:pStyle w:val="Normal"/>
        <w:widowControl/>
        <w:tabs>
          <w:tab w:val="clear" w:pos="720"/>
          <w:tab w:val="left" w:pos="-1080" w:leader="none"/>
          <w:tab w:val="left" w:pos="-720" w:leader="none"/>
          <w:tab w:val="left" w:pos="0" w:leader="none"/>
          <w:tab w:val="left" w:pos="1350" w:leader="none"/>
          <w:tab w:val="left" w:pos="2880" w:leader="none"/>
          <w:tab w:val="left" w:pos="3600" w:leader="none"/>
          <w:tab w:val="left" w:pos="4500" w:leader="none"/>
          <w:tab w:val="left" w:pos="6750" w:leader="none"/>
          <w:tab w:val="left" w:pos="7200" w:leader="none"/>
          <w:tab w:val="left" w:pos="7560" w:leader="none"/>
          <w:tab w:val="right" w:pos="8370" w:leader="none"/>
        </w:tabs>
        <w:ind w:firstLine="720" w:end="0"/>
        <w:rPr/>
      </w:pPr>
      <w:r>
        <w:rPr>
          <w:b/>
        </w:rPr>
        <w:t xml:space="preserve">Paragraph 8.  </w:t>
      </w:r>
      <w:r>
        <w:rPr>
          <w:b/>
          <w:u w:val="single"/>
        </w:rPr>
        <w:t>Interest</w:t>
      </w:r>
      <w:r>
        <w:rPr>
          <w:b/>
        </w:rPr>
        <w:t>.</w:t>
      </w:r>
      <w:r>
        <w:rPr/>
        <w:t xml:space="preserve">  The Requesting Party will wire transfer to the Posting Party the Interest Amount on any Posted Collateral, to the account set forth in Exhibit “A”, in the form of Cash on the last Business Day of each calendar month and on any Business Day that Posted Collateral in the form of Cash is completely returned to the Posting Party. </w:t>
      </w:r>
      <w:r>
        <w:rPr>
          <w:b/>
          <w:i/>
        </w:rPr>
        <w:t>“Interest Amount”</w:t>
      </w:r>
      <w:r>
        <w:rPr/>
        <w:t xml:space="preserve"> means the aggregate sum of interest calculated for each day since the last Business Day on which interest was transferred (or, if no interest  has yet been transferred, the Business Day on which Posted Collateral in the form of Cash was received by the Requesting Party) but excluding the Business Day on which the current interest payment is paid.  Interest shall be calculated based upon the principal amount of Cash held by the Requesting Party on that day, determined by the Requesting Party for each such day as follows:</w:t>
      </w:r>
    </w:p>
    <w:p>
      <w:pPr>
        <w:pStyle w:val="Normal"/>
        <w:widowControl/>
        <w:tabs>
          <w:tab w:val="clear" w:pos="720"/>
          <w:tab w:val="left" w:pos="-1080" w:leader="none"/>
          <w:tab w:val="left" w:pos="-720" w:leader="none"/>
          <w:tab w:val="left" w:pos="0" w:leader="none"/>
          <w:tab w:val="left" w:pos="1350" w:leader="none"/>
          <w:tab w:val="left" w:pos="2880" w:leader="none"/>
          <w:tab w:val="left" w:pos="3600" w:leader="none"/>
          <w:tab w:val="left" w:pos="4500" w:leader="none"/>
          <w:tab w:val="left" w:pos="6750" w:leader="none"/>
          <w:tab w:val="left" w:pos="7200" w:leader="none"/>
          <w:tab w:val="left" w:pos="7560" w:leader="none"/>
          <w:tab w:val="right" w:pos="8370" w:leader="none"/>
        </w:tabs>
        <w:ind w:firstLine="720" w:end="0"/>
        <w:rPr/>
      </w:pPr>
      <w:r>
        <w:rPr/>
      </w:r>
    </w:p>
    <w:p>
      <w:pPr>
        <w:pStyle w:val="Normal"/>
        <w:widowControl/>
        <w:tabs>
          <w:tab w:val="clear" w:pos="720"/>
          <w:tab w:val="left" w:pos="-1080" w:leader="none"/>
          <w:tab w:val="left" w:pos="-720" w:leader="none"/>
          <w:tab w:val="left" w:pos="0" w:leader="none"/>
          <w:tab w:val="left" w:pos="1350" w:leader="none"/>
          <w:tab w:val="left" w:pos="2880" w:leader="none"/>
          <w:tab w:val="left" w:pos="3600" w:leader="none"/>
          <w:tab w:val="left" w:pos="4500" w:leader="none"/>
          <w:tab w:val="left" w:pos="6750" w:leader="none"/>
          <w:tab w:val="left" w:pos="7200" w:leader="none"/>
          <w:tab w:val="left" w:pos="7560" w:leader="none"/>
          <w:tab w:val="right" w:pos="8370" w:leader="none"/>
        </w:tabs>
        <w:ind w:firstLine="720" w:end="0"/>
        <w:rPr/>
      </w:pPr>
      <w:r>
        <w:rPr/>
        <w:t>(x) the amount of that Cash on that day; multiplied by</w:t>
      </w:r>
    </w:p>
    <w:p>
      <w:pPr>
        <w:pStyle w:val="Normal"/>
        <w:widowControl/>
        <w:tabs>
          <w:tab w:val="clear" w:pos="720"/>
          <w:tab w:val="left" w:pos="-1080" w:leader="none"/>
          <w:tab w:val="left" w:pos="-720" w:leader="none"/>
          <w:tab w:val="left" w:pos="0" w:leader="none"/>
          <w:tab w:val="left" w:pos="1350" w:leader="none"/>
          <w:tab w:val="left" w:pos="2880" w:leader="none"/>
          <w:tab w:val="left" w:pos="3600" w:leader="none"/>
          <w:tab w:val="left" w:pos="4500" w:leader="none"/>
          <w:tab w:val="left" w:pos="6750" w:leader="none"/>
          <w:tab w:val="left" w:pos="7200" w:leader="none"/>
          <w:tab w:val="left" w:pos="7560" w:leader="none"/>
          <w:tab w:val="right" w:pos="8370" w:leader="none"/>
        </w:tabs>
        <w:ind w:firstLine="720" w:end="0"/>
        <w:rPr/>
      </w:pPr>
      <w:r>
        <w:rPr/>
        <w:t>(y) the Interest Rate in effect for that day; divided by</w:t>
      </w:r>
    </w:p>
    <w:p>
      <w:pPr>
        <w:pStyle w:val="Normal"/>
        <w:widowControl/>
        <w:tabs>
          <w:tab w:val="clear" w:pos="720"/>
          <w:tab w:val="left" w:pos="-1080" w:leader="none"/>
          <w:tab w:val="left" w:pos="-720" w:leader="none"/>
          <w:tab w:val="left" w:pos="0" w:leader="none"/>
          <w:tab w:val="left" w:pos="1350" w:leader="none"/>
          <w:tab w:val="left" w:pos="2880" w:leader="none"/>
          <w:tab w:val="left" w:pos="3600" w:leader="none"/>
          <w:tab w:val="left" w:pos="4500" w:leader="none"/>
          <w:tab w:val="left" w:pos="6750" w:leader="none"/>
          <w:tab w:val="left" w:pos="7200" w:leader="none"/>
          <w:tab w:val="left" w:pos="7560" w:leader="none"/>
          <w:tab w:val="right" w:pos="8370" w:leader="none"/>
        </w:tabs>
        <w:ind w:firstLine="720" w:end="0"/>
        <w:rPr/>
      </w:pPr>
      <w:r>
        <w:rPr/>
        <w:t>(z) 360.</w:t>
      </w:r>
    </w:p>
    <w:p>
      <w:pPr>
        <w:pStyle w:val="Normal"/>
        <w:widowControl/>
        <w:tabs>
          <w:tab w:val="clear" w:pos="720"/>
          <w:tab w:val="left" w:pos="-1080" w:leader="none"/>
          <w:tab w:val="left" w:pos="-720" w:leader="none"/>
          <w:tab w:val="left" w:pos="0" w:leader="none"/>
          <w:tab w:val="left" w:pos="1350" w:leader="none"/>
          <w:tab w:val="left" w:pos="2880" w:leader="none"/>
          <w:tab w:val="left" w:pos="3600" w:leader="none"/>
          <w:tab w:val="left" w:pos="4500" w:leader="none"/>
          <w:tab w:val="left" w:pos="6750" w:leader="none"/>
          <w:tab w:val="left" w:pos="7200" w:leader="none"/>
          <w:tab w:val="left" w:pos="7560" w:leader="none"/>
          <w:tab w:val="right" w:pos="8370" w:leader="none"/>
        </w:tabs>
        <w:rPr/>
      </w:pPr>
      <w:r>
        <w:rPr/>
      </w:r>
    </w:p>
    <w:p>
      <w:pPr>
        <w:pStyle w:val="Normal"/>
        <w:ind w:firstLine="720" w:end="0"/>
        <w:rPr/>
      </w:pPr>
      <w:r>
        <w:rPr>
          <w:b/>
        </w:rPr>
        <w:t xml:space="preserve">Paragraph 9.  </w:t>
      </w:r>
      <w:r>
        <w:rPr>
          <w:b/>
          <w:u w:val="single"/>
        </w:rPr>
        <w:t>Events of Default.</w:t>
      </w:r>
      <w:r>
        <w:rPr>
          <w:b/>
        </w:rPr>
        <w:t xml:space="preserve"> </w:t>
      </w:r>
      <w:r>
        <w:rPr/>
        <w:t xml:space="preserve"> An Event of Default for purposes of this Collateral Agreement and the Agreements shall mean the occurrence at any time with respect to a Party, or if applicable, any Credit Support Provider of such Party, of any of the following events:  </w:t>
      </w:r>
    </w:p>
    <w:p>
      <w:pPr>
        <w:pStyle w:val="Normal"/>
        <w:tabs>
          <w:tab w:val="clear" w:pos="720"/>
          <w:tab w:val="left" w:pos="0" w:leader="none"/>
        </w:tabs>
        <w:ind w:firstLine="720" w:end="0"/>
        <w:rPr/>
      </w:pPr>
      <w:r>
        <w:rPr/>
      </w:r>
    </w:p>
    <w:p>
      <w:pPr>
        <w:pStyle w:val="BodyText21"/>
        <w:widowControl/>
        <w:tabs>
          <w:tab w:val="clear" w:pos="720"/>
          <w:tab w:val="left" w:pos="180" w:leader="none"/>
        </w:tabs>
        <w:ind w:start="1440" w:end="0"/>
        <w:rPr/>
      </w:pPr>
      <w:r>
        <w:rPr>
          <w:rFonts w:cs="Times New Roman" w:ascii="Times New Roman" w:hAnsi="Times New Roman"/>
          <w:sz w:val="24"/>
        </w:rPr>
        <w:t xml:space="preserve">(a)  </w:t>
      </w:r>
      <w:r>
        <w:rPr>
          <w:rFonts w:cs="Times New Roman" w:ascii="Times New Roman" w:hAnsi="Times New Roman"/>
          <w:sz w:val="24"/>
          <w:u w:val="single"/>
        </w:rPr>
        <w:t>Failure to Pay Default</w:t>
      </w:r>
      <w:r>
        <w:rPr>
          <w:rFonts w:cs="Times New Roman" w:ascii="Times New Roman" w:hAnsi="Times New Roman"/>
          <w:sz w:val="24"/>
        </w:rPr>
        <w:t xml:space="preserve">:  A Party (“Defaulting Party”)  fails to make, when due, any undisputed payment to the Non-Defaulting Party under an Agreement or this Collateral Agreement, and thereafter fails to make such payment within two (2) Business Days of a demand for Corrective Action (which shall not include a delay in payment that is cured pursuant to the terms of such Agreement or this Collateral Agreement); or </w:t>
      </w:r>
    </w:p>
    <w:p>
      <w:pPr>
        <w:pStyle w:val="Normal"/>
        <w:tabs>
          <w:tab w:val="clear" w:pos="720"/>
          <w:tab w:val="left" w:pos="180" w:leader="none"/>
        </w:tabs>
        <w:ind w:start="1440" w:end="0"/>
        <w:rPr>
          <w:rFonts w:ascii="Times New Roman" w:hAnsi="Times New Roman" w:cs="Times New Roman"/>
          <w:sz w:val="24"/>
        </w:rPr>
      </w:pPr>
      <w:r>
        <w:rPr>
          <w:rFonts w:cs="Times New Roman"/>
          <w:sz w:val="24"/>
        </w:rPr>
      </w:r>
    </w:p>
    <w:p>
      <w:pPr>
        <w:pStyle w:val="Normal"/>
        <w:tabs>
          <w:tab w:val="clear" w:pos="720"/>
          <w:tab w:val="left" w:pos="180" w:leader="none"/>
        </w:tabs>
        <w:ind w:start="1440" w:end="0"/>
        <w:rPr/>
      </w:pPr>
      <w:r>
        <w:rPr/>
        <w:t xml:space="preserve">(b)  </w:t>
      </w:r>
      <w:r>
        <w:rPr>
          <w:u w:val="single"/>
        </w:rPr>
        <w:t>Failure to Perform Default</w:t>
      </w:r>
      <w:r>
        <w:rPr/>
        <w:t xml:space="preserve">:  A Party (“Defaulting Party”)  fails to perform its Obligations to the Non-Defaulting Party under this Collateral Agreement or an Agreement (which shall not include any failure of performance which: (a) results from an event of force majeure (as defined in the relevant Agreement); or (b)  is cured within, five (5) Business Days of a demand for corrective action; or (c) results from a Party’s failure to deliver or receive the product where the sole and exclusive remedy for which is provided for in the Agreement); or </w:t>
      </w:r>
    </w:p>
    <w:p>
      <w:pPr>
        <w:pStyle w:val="Normal"/>
        <w:tabs>
          <w:tab w:val="clear" w:pos="720"/>
          <w:tab w:val="left" w:pos="180" w:leader="none"/>
        </w:tabs>
        <w:ind w:start="1440" w:end="0"/>
        <w:rPr/>
      </w:pPr>
      <w:r>
        <w:rPr/>
      </w:r>
    </w:p>
    <w:p>
      <w:pPr>
        <w:pStyle w:val="BodyTextIndent"/>
        <w:widowControl/>
        <w:tabs>
          <w:tab w:val="clear" w:pos="720"/>
          <w:tab w:val="left" w:pos="180" w:leader="none"/>
        </w:tabs>
        <w:ind w:start="1440" w:end="0"/>
        <w:rPr/>
      </w:pPr>
      <w:r>
        <w:rPr>
          <w:rFonts w:cs="Times New Roman" w:ascii="Times New Roman" w:hAnsi="Times New Roman"/>
          <w:sz w:val="24"/>
        </w:rPr>
        <w:t xml:space="preserve">(c)  </w:t>
      </w:r>
      <w:r>
        <w:rPr>
          <w:rFonts w:cs="Times New Roman" w:ascii="Times New Roman" w:hAnsi="Times New Roman"/>
          <w:sz w:val="24"/>
          <w:u w:val="single"/>
        </w:rPr>
        <w:t>Bankruptcy and Insolvency Default</w:t>
      </w:r>
      <w:r>
        <w:rPr>
          <w:rFonts w:cs="Times New Roman" w:ascii="Times New Roman" w:hAnsi="Times New Roman"/>
          <w:sz w:val="24"/>
        </w:rPr>
        <w:t>:  A Party (“Defaulting Party”) or any Credit Support Provider of a Party, files a petition or otherwise commences, authorizes, or acquiesces in the commencement of a proceeding or case under any bankruptcy or similar law for the protection of creditors or institutes or has instituted against it a proceeding seeking a judgment of insolvency or bankruptcy or any other relief under any bankruptcy or insolvency law or other similar law affecting creditors rights, or a petition is presented for its winding up or liquidation and (i) results in a judgment of insolvency or bankruptcy or the entry of an order for relief or the making of an order for its winding up or liquidation or (ii) is not dismissed, discharged, stayed or restrained in each case within 30 days of the institution or presentation thereof; or</w:t>
      </w:r>
    </w:p>
    <w:p>
      <w:pPr>
        <w:pStyle w:val="BodyTextIndent"/>
        <w:widowControl/>
        <w:tabs>
          <w:tab w:val="clear" w:pos="720"/>
          <w:tab w:val="left" w:pos="180" w:leader="none"/>
        </w:tabs>
        <w:ind w:start="1440" w:end="0"/>
        <w:rPr>
          <w:rFonts w:ascii="Times New Roman" w:hAnsi="Times New Roman" w:cs="Times New Roman"/>
          <w:sz w:val="24"/>
        </w:rPr>
      </w:pPr>
      <w:r>
        <w:rPr>
          <w:rFonts w:cs="Times New Roman" w:ascii="Times New Roman" w:hAnsi="Times New Roman"/>
          <w:sz w:val="24"/>
        </w:rPr>
      </w:r>
    </w:p>
    <w:p>
      <w:pPr>
        <w:pStyle w:val="BodyTextIndent"/>
        <w:widowControl/>
        <w:numPr>
          <w:ilvl w:val="0"/>
          <w:numId w:val="7"/>
        </w:numPr>
        <w:tabs>
          <w:tab w:val="clear" w:pos="720"/>
          <w:tab w:val="left" w:pos="180" w:leader="none"/>
        </w:tabs>
        <w:rPr>
          <w:sz w:val="24"/>
        </w:rPr>
      </w:pPr>
      <w:r>
        <w:rPr>
          <w:rFonts w:cs="Times New Roman" w:ascii="Times New Roman" w:hAnsi="Times New Roman"/>
          <w:sz w:val="24"/>
        </w:rPr>
        <w:t>otherwise becomes bankrupt or insolvent (however evidenced); or</w:t>
      </w:r>
    </w:p>
    <w:p>
      <w:pPr>
        <w:pStyle w:val="BodyTextIndent"/>
        <w:widowControl/>
        <w:numPr>
          <w:ilvl w:val="0"/>
          <w:numId w:val="7"/>
        </w:numPr>
        <w:tabs>
          <w:tab w:val="clear" w:pos="720"/>
          <w:tab w:val="left" w:pos="180" w:leader="none"/>
        </w:tabs>
        <w:rPr>
          <w:sz w:val="24"/>
        </w:rPr>
      </w:pPr>
      <w:r>
        <w:rPr>
          <w:rFonts w:cs="Times New Roman" w:ascii="Times New Roman" w:hAnsi="Times New Roman"/>
          <w:sz w:val="24"/>
        </w:rPr>
        <w:t>makes a general assignment or arrangement or composition with or for the benefit of its creditors; or</w:t>
      </w:r>
    </w:p>
    <w:p>
      <w:pPr>
        <w:pStyle w:val="BodyTextIndent"/>
        <w:widowControl/>
        <w:numPr>
          <w:ilvl w:val="0"/>
          <w:numId w:val="7"/>
        </w:numPr>
        <w:tabs>
          <w:tab w:val="clear" w:pos="720"/>
          <w:tab w:val="left" w:pos="180" w:leader="none"/>
        </w:tabs>
        <w:rPr>
          <w:sz w:val="24"/>
        </w:rPr>
      </w:pPr>
      <w:r>
        <w:rPr>
          <w:rFonts w:cs="Times New Roman" w:ascii="Times New Roman" w:hAnsi="Times New Roman"/>
          <w:sz w:val="24"/>
        </w:rPr>
        <w:t>is dissolved or has a resolution passed for its winding up, official management or liquidation (other than pursuant to a consolidation, amalgamation or merger); or</w:t>
      </w:r>
    </w:p>
    <w:p>
      <w:pPr>
        <w:pStyle w:val="BodyTextIndent"/>
        <w:widowControl/>
        <w:numPr>
          <w:ilvl w:val="0"/>
          <w:numId w:val="7"/>
        </w:numPr>
        <w:tabs>
          <w:tab w:val="clear" w:pos="720"/>
          <w:tab w:val="left" w:pos="180" w:leader="none"/>
        </w:tabs>
        <w:rPr>
          <w:sz w:val="24"/>
        </w:rPr>
      </w:pPr>
      <w:r>
        <w:rPr>
          <w:rFonts w:cs="Times New Roman" w:ascii="Times New Roman" w:hAnsi="Times New Roman"/>
          <w:sz w:val="24"/>
        </w:rPr>
        <w:t>seeks or becomes subject to the appointment of an administrator, professional liquidator, conservator, receiver, trustee, custodian or other similar official for it or all or substantially all of its assets; or</w:t>
      </w:r>
    </w:p>
    <w:p>
      <w:pPr>
        <w:pStyle w:val="BodyTextIndent"/>
        <w:widowControl/>
        <w:numPr>
          <w:ilvl w:val="0"/>
          <w:numId w:val="7"/>
        </w:numPr>
        <w:tabs>
          <w:tab w:val="clear" w:pos="720"/>
          <w:tab w:val="left" w:pos="180" w:leader="none"/>
        </w:tabs>
        <w:rPr>
          <w:sz w:val="24"/>
        </w:rPr>
      </w:pPr>
      <w:r>
        <w:rPr>
          <w:rFonts w:cs="Times New Roman" w:ascii="Times New Roman" w:hAnsi="Times New Roman"/>
          <w:sz w:val="24"/>
        </w:rPr>
        <w:t>is unable to pay its debts as they come due.</w:t>
      </w:r>
    </w:p>
    <w:p>
      <w:pPr>
        <w:pStyle w:val="BodyTextIndent"/>
        <w:widowControl/>
        <w:tabs>
          <w:tab w:val="clear" w:pos="720"/>
          <w:tab w:val="left" w:pos="180" w:leader="none"/>
        </w:tabs>
        <w:ind w:start="2160" w:end="0"/>
        <w:rPr>
          <w:sz w:val="24"/>
        </w:rPr>
      </w:pPr>
      <w:r>
        <w:rPr>
          <w:sz w:val="24"/>
        </w:rPr>
      </w:r>
    </w:p>
    <w:p>
      <w:pPr>
        <w:pStyle w:val="BodyTextIndent"/>
        <w:widowControl/>
        <w:tabs>
          <w:tab w:val="clear" w:pos="720"/>
          <w:tab w:val="left" w:pos="180" w:leader="none"/>
        </w:tabs>
        <w:ind w:start="1440" w:end="0"/>
        <w:rPr>
          <w:rFonts w:ascii="Times New Roman" w:hAnsi="Times New Roman" w:cs="Times New Roman"/>
          <w:sz w:val="24"/>
        </w:rPr>
      </w:pPr>
      <w:r>
        <w:rPr>
          <w:rFonts w:cs="Times New Roman" w:ascii="Times New Roman" w:hAnsi="Times New Roman"/>
          <w:sz w:val="24"/>
        </w:rPr>
      </w:r>
    </w:p>
    <w:p>
      <w:pPr>
        <w:pStyle w:val="Normal"/>
        <w:tabs>
          <w:tab w:val="clear" w:pos="720"/>
          <w:tab w:val="left" w:pos="180" w:leader="none"/>
        </w:tabs>
        <w:ind w:start="1440" w:end="0"/>
        <w:rPr/>
      </w:pPr>
      <w:r>
        <w:rPr/>
        <w:t xml:space="preserve">(d)  </w:t>
      </w:r>
      <w:r>
        <w:rPr>
          <w:u w:val="single"/>
        </w:rPr>
        <w:t xml:space="preserve">Materially Incorrect or Misleading Statement Default </w:t>
      </w:r>
      <w:r>
        <w:rPr/>
        <w:t>:  A Party (“Defaulting Party”) shall have made a materially incorrect or misleading representation or warranty under this Collateral Agreement or an Agreement; or</w:t>
      </w:r>
    </w:p>
    <w:p>
      <w:pPr>
        <w:pStyle w:val="Normal"/>
        <w:tabs>
          <w:tab w:val="clear" w:pos="720"/>
          <w:tab w:val="left" w:pos="180" w:leader="none"/>
        </w:tabs>
        <w:ind w:start="1440" w:end="0"/>
        <w:rPr/>
      </w:pPr>
      <w:r>
        <w:rPr/>
      </w:r>
    </w:p>
    <w:p>
      <w:pPr>
        <w:pStyle w:val="Normal"/>
        <w:ind w:start="1440" w:end="0"/>
        <w:rPr/>
      </w:pPr>
      <w:r>
        <w:rPr/>
        <w:t xml:space="preserve">(e) </w:t>
      </w:r>
      <w:r>
        <w:rPr>
          <w:u w:val="single"/>
        </w:rPr>
        <w:t>Failure to Provide Adequate Assurance Default</w:t>
      </w:r>
      <w:r>
        <w:rPr/>
        <w:t>:  A Party (“Defaulting Party”) fails to provide Adequate Assurance (as defined below) to the Requesting Party within two (2) Business Days of the Requesting Party’s written demand for that assurance when the demand is based on the Requesting Party’s reasonable good faith belief that the ability of the Defaulting Party to perform its Obligations under the Agreement or this Collateral Agreement is materially impaired.  For purposes of this section, “Adequate Assurance” means Cash, Eligible Letter(s) of Credit and any other Eligible Collateral in a form and amount satisfactory to the Parties.</w:t>
      </w:r>
    </w:p>
    <w:p>
      <w:pPr>
        <w:pStyle w:val="Normal"/>
        <w:ind w:start="1440" w:end="0"/>
        <w:rPr/>
      </w:pPr>
      <w:r>
        <w:rPr/>
      </w:r>
    </w:p>
    <w:p>
      <w:pPr>
        <w:pStyle w:val="Normal"/>
        <w:ind w:start="1440" w:end="0"/>
        <w:rPr/>
      </w:pPr>
      <w:r>
        <w:rPr/>
        <w:t xml:space="preserve">(f)  </w:t>
      </w:r>
      <w:r>
        <w:rPr>
          <w:u w:val="single"/>
        </w:rPr>
        <w:t>Credit Support Default:</w:t>
      </w:r>
      <w:r>
        <w:rPr/>
        <w:t xml:space="preserve">  A Party (“Defaulting Party”), or its Credit Support Provider:</w:t>
      </w:r>
    </w:p>
    <w:p>
      <w:pPr>
        <w:pStyle w:val="Normal"/>
        <w:ind w:start="1440" w:end="0"/>
        <w:rPr/>
      </w:pPr>
      <w:r>
        <w:rPr/>
      </w:r>
    </w:p>
    <w:p>
      <w:pPr>
        <w:pStyle w:val="Normal"/>
        <w:tabs>
          <w:tab w:val="clear" w:pos="720"/>
          <w:tab w:val="left" w:pos="1080" w:leader="none"/>
          <w:tab w:val="left" w:pos="2160" w:leader="none"/>
        </w:tabs>
        <w:ind w:hanging="2160" w:start="2160" w:end="0"/>
        <w:rPr/>
      </w:pPr>
      <w:r>
        <w:rPr/>
        <w:tab/>
        <w:tab/>
        <w:t>(1)  breaches an obligation it has under a Credit Support Document and fails to remedy such breach within the grace period set forth herein, if any;</w:t>
      </w:r>
    </w:p>
    <w:p>
      <w:pPr>
        <w:pStyle w:val="Normal"/>
        <w:ind w:start="720" w:end="0"/>
        <w:rPr/>
      </w:pPr>
      <w:r>
        <w:rPr/>
      </w:r>
    </w:p>
    <w:p>
      <w:pPr>
        <w:pStyle w:val="Normal"/>
        <w:tabs>
          <w:tab w:val="clear" w:pos="720"/>
          <w:tab w:val="left" w:pos="1080" w:leader="none"/>
          <w:tab w:val="left" w:pos="2160" w:leader="none"/>
        </w:tabs>
        <w:ind w:hanging="2160" w:start="2160" w:end="0"/>
        <w:rPr/>
      </w:pPr>
      <w:r>
        <w:rPr/>
        <w:tab/>
        <w:tab/>
        <w:t xml:space="preserve">(2) repudiates or challenges the enforceability of any Credit Support Document to which it is a party; </w:t>
      </w:r>
    </w:p>
    <w:p>
      <w:pPr>
        <w:pStyle w:val="Normal"/>
        <w:rPr/>
      </w:pPr>
      <w:r>
        <w:rPr/>
      </w:r>
    </w:p>
    <w:p>
      <w:pPr>
        <w:pStyle w:val="Normal"/>
        <w:tabs>
          <w:tab w:val="clear" w:pos="720"/>
          <w:tab w:val="left" w:pos="1080" w:leader="none"/>
          <w:tab w:val="left" w:pos="2160" w:leader="none"/>
        </w:tabs>
        <w:ind w:hanging="2160" w:start="2160" w:end="0"/>
        <w:rPr/>
      </w:pPr>
      <w:r>
        <w:rPr/>
        <w:tab/>
        <w:tab/>
        <w:t>(3) terminates or lets its Credit Support Document expire prior to the satisfaction of its obligations under this Collateral Agreement and such Party, after receiving a demand, does not replace such Credit Support Document at least three (3)  Business Days prior to such termination or expiration; or</w:t>
      </w:r>
    </w:p>
    <w:p>
      <w:pPr>
        <w:pStyle w:val="Normal"/>
        <w:tabs>
          <w:tab w:val="clear" w:pos="720"/>
          <w:tab w:val="left" w:pos="1080" w:leader="none"/>
          <w:tab w:val="left" w:pos="2160" w:leader="none"/>
        </w:tabs>
        <w:ind w:hanging="2160" w:start="2160" w:end="0"/>
        <w:rPr/>
      </w:pPr>
      <w:r>
        <w:rPr/>
      </w:r>
    </w:p>
    <w:p>
      <w:pPr>
        <w:pStyle w:val="Normal"/>
        <w:tabs>
          <w:tab w:val="clear" w:pos="720"/>
          <w:tab w:val="left" w:pos="1080" w:leader="none"/>
          <w:tab w:val="left" w:pos="2160" w:leader="none"/>
        </w:tabs>
        <w:ind w:hanging="2160" w:start="2160" w:end="0"/>
        <w:rPr/>
      </w:pPr>
      <w:r>
        <w:rPr/>
        <w:tab/>
        <w:tab/>
        <w:t>(4) fails to deliver or return any Eligible Collateral when due under this Collateral Agreement or fails to comply with or perform its obligations under any other Credit Support Document  with the other Party after giving effect to any applicable notice or grace period; or</w:t>
      </w:r>
    </w:p>
    <w:p>
      <w:pPr>
        <w:pStyle w:val="Normal"/>
        <w:tabs>
          <w:tab w:val="clear" w:pos="720"/>
          <w:tab w:val="left" w:pos="1080" w:leader="none"/>
          <w:tab w:val="left" w:pos="2160" w:leader="none"/>
        </w:tabs>
        <w:ind w:hanging="2160" w:start="2160" w:end="0"/>
        <w:rPr/>
      </w:pPr>
      <w:r>
        <w:rPr/>
      </w:r>
    </w:p>
    <w:p>
      <w:pPr>
        <w:pStyle w:val="Normal"/>
        <w:tabs>
          <w:tab w:val="clear" w:pos="720"/>
          <w:tab w:val="left" w:pos="1080" w:leader="none"/>
          <w:tab w:val="left" w:pos="2160" w:leader="none"/>
        </w:tabs>
        <w:ind w:hanging="2160" w:start="2160" w:end="0"/>
        <w:rPr/>
      </w:pPr>
      <w:r>
        <w:rPr/>
        <w:tab/>
        <w:tab/>
        <w:t>(5)  fails to pay any Interest Amount when due under this Collateral Agreement within three (3) Business Days of being notified of the failure to pay said Interest Amount.</w:t>
      </w:r>
    </w:p>
    <w:p>
      <w:pPr>
        <w:pStyle w:val="EndnoteText"/>
        <w:widowControl/>
        <w:jc w:val="both"/>
        <w:rPr>
          <w:sz w:val="24"/>
        </w:rPr>
      </w:pPr>
      <w:r>
        <w:rPr>
          <w:sz w:val="24"/>
        </w:rPr>
      </w:r>
    </w:p>
    <w:p>
      <w:pPr>
        <w:pStyle w:val="Normal"/>
        <w:ind w:firstLine="720" w:start="720" w:end="0"/>
        <w:rPr/>
      </w:pPr>
      <w:r>
        <w:rPr/>
        <w:t xml:space="preserve">(g) </w:t>
      </w:r>
      <w:r>
        <w:rPr>
          <w:u w:val="single"/>
        </w:rPr>
        <w:t>Cross Default Event</w:t>
      </w:r>
      <w:r>
        <w:rPr/>
        <w:t>:</w:t>
      </w:r>
    </w:p>
    <w:p>
      <w:pPr>
        <w:pStyle w:val="BodyTextIndent2"/>
        <w:widowControl/>
        <w:tabs>
          <w:tab w:val="clear" w:pos="2070"/>
          <w:tab w:val="left" w:pos="1440" w:leader="none"/>
        </w:tabs>
        <w:rPr/>
      </w:pPr>
      <w:r>
        <w:rPr/>
      </w:r>
    </w:p>
    <w:p>
      <w:pPr>
        <w:pStyle w:val="BodyTextIndent2"/>
        <w:widowControl/>
        <w:tabs>
          <w:tab w:val="clear" w:pos="2070"/>
          <w:tab w:val="left" w:pos="1440" w:leader="none"/>
        </w:tabs>
        <w:rPr/>
      </w:pPr>
      <w:r>
        <w:rPr/>
        <w:tab/>
        <w:t xml:space="preserve">(1)      with respect to Counterparty, any default by Counterparty or any Credit Support Provider of Counterparty on indebtedness or other contractual obligations which in aggregate exceeds U.S. $100,000,000. </w:t>
      </w:r>
    </w:p>
    <w:p>
      <w:pPr>
        <w:pStyle w:val="BodyTextIndent3"/>
        <w:widowControl/>
        <w:ind w:hanging="0" w:start="2070" w:end="0"/>
        <w:rPr/>
      </w:pPr>
      <w:r>
        <w:rPr/>
      </w:r>
    </w:p>
    <w:p>
      <w:pPr>
        <w:pStyle w:val="BodyTextIndent3"/>
        <w:widowControl/>
        <w:ind w:hanging="0" w:start="2074" w:end="0"/>
        <w:jc w:val="both"/>
        <w:rPr/>
      </w:pPr>
      <w:r>
        <w:rPr/>
        <w:t>(2)</w:t>
        <w:tab/>
        <w:t>with respect to DETM, any default by DETM or any Credit Support Provider of DETM on indebtedness or other contractual obligations  which in aggregate exceeds U.S. $50,000,000.</w:t>
      </w:r>
    </w:p>
    <w:p>
      <w:pPr>
        <w:pStyle w:val="BodyTextIndent3"/>
        <w:widowControl/>
        <w:ind w:hanging="0" w:start="1800" w:end="0"/>
        <w:rPr/>
      </w:pPr>
      <w:r>
        <w:rPr/>
      </w:r>
    </w:p>
    <w:p>
      <w:pPr>
        <w:pStyle w:val="Normal"/>
        <w:ind w:start="1440" w:end="0"/>
        <w:rPr/>
      </w:pPr>
      <w:r>
        <w:rPr/>
        <w:t xml:space="preserve">(h)  </w:t>
      </w:r>
      <w:r>
        <w:rPr>
          <w:u w:val="single"/>
        </w:rPr>
        <w:t>Material Adverse Change Default</w:t>
      </w:r>
      <w:r>
        <w:rPr/>
        <w:t>: means the occurrence of a Material Adverse Change (as hereinafter defined) with respect to a Party ("X").  "Material Adverse Change" means:  a reduction in the Credit Rating of X or X's Credit Support Provider  by S&amp;P to below "BBB-", or by Moody's to below "Baa3”.  Notwithstanding anything herein to the contrary, a Defaulting Party under this provision may cure the Default by: (i) providing Eligible Collateral sufficient to cover its sixty (60) day net payable to the Non-Defaulting Party, if any, in the event it is the net exposed Party (as determine by the Non-Defaulting Party), or (ii) the posting of Eligible Collateral for the full amount of the Net Settlement Amount which would be owed to the Non-Defaulting Party if the Agreements were terminated in the event the Non-Defaulting Party is exposed, in either case within two (2) Business Days of the date of the Material Adverse Change. The Collateral Threshold Amount for a Party subject to a Material Adverse Change shall be reduced to zero notwithstanding the fact that the Party may avail itself of the cure provision above.</w:t>
      </w:r>
    </w:p>
    <w:p>
      <w:pPr>
        <w:pStyle w:val="Normal"/>
        <w:rPr/>
      </w:pPr>
      <w:r>
        <w:rPr/>
      </w:r>
    </w:p>
    <w:p>
      <w:pPr>
        <w:pStyle w:val="Normal"/>
        <w:rPr/>
      </w:pPr>
      <w:r>
        <w:rPr/>
      </w:r>
    </w:p>
    <w:p>
      <w:pPr>
        <w:pStyle w:val="Normal"/>
        <w:numPr>
          <w:ilvl w:val="0"/>
          <w:numId w:val="2"/>
        </w:numPr>
        <w:tabs>
          <w:tab w:val="clear" w:pos="720"/>
          <w:tab w:val="left" w:pos="180" w:leader="none"/>
          <w:tab w:val="left" w:pos="270" w:leader="none"/>
        </w:tabs>
        <w:ind w:hanging="0" w:start="1440" w:end="0"/>
        <w:rPr/>
      </w:pPr>
      <w:r>
        <w:rPr>
          <w:u w:val="single"/>
        </w:rPr>
        <w:t>Failure to Provide Financial Statements Default</w:t>
      </w:r>
      <w:r>
        <w:rPr/>
        <w:t>: A Party, or in lieu thereof if a Guaranty has been provided, a Party’s Guarantor fails to provide (i) its annual audited financial statements prepared in accordance with generally accepted accounting principles (“GAAP”) on the later of (a) ninety (90) days after the end of a calendar year or (b) within ten (10) Business Days of its receipt of a written request by the other Party, or (ii) its quarterly unaudited consolidated financial statements prepared in accordance with GAAP on the later of (a) ninety (90) days after the end of a calendar year or (b) within ten (10) Business Days of its receipt of a written request by the other Party; provided however, in the event a Party or its Guarantor is required to make its annual audited and quarterly unaudited financial statements available to the public then the Requesting Party shall attempt to use public sources to review such information prior to making any written request.</w:t>
      </w:r>
    </w:p>
    <w:p>
      <w:pPr>
        <w:pStyle w:val="Normal"/>
        <w:tabs>
          <w:tab w:val="clear" w:pos="720"/>
          <w:tab w:val="left" w:pos="180" w:leader="none"/>
        </w:tabs>
        <w:ind w:start="1440" w:end="0"/>
        <w:rPr/>
      </w:pPr>
      <w:r>
        <w:rPr/>
      </w:r>
    </w:p>
    <w:p>
      <w:pPr>
        <w:pStyle w:val="Normal"/>
        <w:tabs>
          <w:tab w:val="clear" w:pos="720"/>
          <w:tab w:val="left" w:pos="180" w:leader="none"/>
        </w:tabs>
        <w:ind w:start="1440" w:end="0"/>
        <w:rPr/>
      </w:pPr>
      <w:r>
        <w:rPr/>
        <w:t>(j)</w:t>
        <w:tab/>
      </w:r>
      <w:r>
        <w:rPr>
          <w:u w:val="single"/>
        </w:rPr>
        <w:t>Letter of Credit Default</w:t>
      </w:r>
      <w:r>
        <w:rPr/>
        <w:t>:  means with respect to an outstanding Letter of Credit, the occurrence of any of the following events: (i) the issuer of such Letter of Credit shall fail to be a Qualified Financial Institution; (ii) the issuer of the Letter of Credit, upon receipt of written notice by the Requesting Party, shall fail to cause the renewal or replacement of the Letter of Credit to the Requesting Party at least five (5) Business Days prior to the expiration of such Letter of Credit; provided however, that no Letter of Credit Default shall be deemed to have occurred if such Letter of Credit was required to be canceled or returned to the Posting Party in accordance with Paragraph 3(b) of this Collateral Agreement.</w:t>
      </w:r>
    </w:p>
    <w:p>
      <w:pPr>
        <w:pStyle w:val="Normal"/>
        <w:widowControl/>
        <w:tabs>
          <w:tab w:val="clear" w:pos="720"/>
          <w:tab w:val="left" w:pos="-1080" w:leader="none"/>
          <w:tab w:val="left" w:pos="-720" w:leader="none"/>
          <w:tab w:val="left" w:pos="0" w:leader="none"/>
          <w:tab w:val="left" w:pos="1350" w:leader="none"/>
          <w:tab w:val="left" w:pos="2880" w:leader="none"/>
          <w:tab w:val="left" w:pos="3600" w:leader="none"/>
          <w:tab w:val="left" w:pos="4500" w:leader="none"/>
          <w:tab w:val="left" w:pos="6750" w:leader="none"/>
          <w:tab w:val="left" w:pos="7200" w:leader="none"/>
          <w:tab w:val="left" w:pos="7560" w:leader="none"/>
          <w:tab w:val="right" w:pos="8370" w:leader="none"/>
        </w:tabs>
        <w:rPr/>
      </w:pPr>
      <w:r>
        <w:rPr/>
      </w:r>
    </w:p>
    <w:p>
      <w:pPr>
        <w:pStyle w:val="Normal"/>
        <w:numPr>
          <w:ilvl w:val="0"/>
          <w:numId w:val="2"/>
        </w:numPr>
        <w:rPr/>
      </w:pPr>
      <w:r>
        <w:rPr>
          <w:u w:val="single"/>
        </w:rPr>
        <w:t>Financial Consolidation/Merger/Asset Transfer Default</w:t>
      </w:r>
      <w:r>
        <w:rPr/>
        <w:t>:  A Party or its Credit Support Provider</w:t>
      </w:r>
    </w:p>
    <w:p>
      <w:pPr>
        <w:pStyle w:val="Normal"/>
        <w:rPr/>
      </w:pPr>
      <w:r>
        <w:rPr/>
      </w:r>
    </w:p>
    <w:p>
      <w:pPr>
        <w:pStyle w:val="Normal"/>
        <w:numPr>
          <w:ilvl w:val="0"/>
          <w:numId w:val="8"/>
        </w:numPr>
        <w:rPr/>
      </w:pPr>
      <w:r>
        <w:rPr/>
        <w:t>consolidates or amalgamates with or merges with or into, or transfers all or substantially all its assets to another entity if upon such consolidation, amalgamation, merger or transfer:</w:t>
      </w:r>
    </w:p>
    <w:p>
      <w:pPr>
        <w:pStyle w:val="Normal"/>
        <w:ind w:start="1440" w:end="0"/>
        <w:rPr/>
      </w:pPr>
      <w:r>
        <w:rPr/>
      </w:r>
    </w:p>
    <w:p>
      <w:pPr>
        <w:pStyle w:val="Normal"/>
        <w:numPr>
          <w:ilvl w:val="0"/>
          <w:numId w:val="3"/>
        </w:numPr>
        <w:tabs>
          <w:tab w:val="clear" w:pos="720"/>
          <w:tab w:val="left" w:pos="3600" w:leader="none"/>
        </w:tabs>
        <w:ind w:hanging="720" w:start="3600" w:end="0"/>
        <w:rPr/>
      </w:pPr>
      <w:r>
        <w:rPr/>
        <w:t>the resulting, surviving or transferee entity fails to assume all the Obligations of such Party or such Credit Support Provider under an Agreement, a Credit Support Document or this Collateral Agreement to which it or its predecessor was a party by operation of law or pursuant to an agreement reasonably satisfactory to the other Party to this Collateral Agreement;</w:t>
      </w:r>
    </w:p>
    <w:p>
      <w:pPr>
        <w:pStyle w:val="Normal"/>
        <w:ind w:start="2160" w:end="0"/>
        <w:rPr/>
      </w:pPr>
      <w:r>
        <w:rPr/>
      </w:r>
    </w:p>
    <w:p>
      <w:pPr>
        <w:pStyle w:val="Normal"/>
        <w:numPr>
          <w:ilvl w:val="0"/>
          <w:numId w:val="3"/>
        </w:numPr>
        <w:tabs>
          <w:tab w:val="clear" w:pos="720"/>
          <w:tab w:val="left" w:pos="180" w:leader="none"/>
          <w:tab w:val="left" w:pos="3600" w:leader="none"/>
        </w:tabs>
        <w:ind w:hanging="720" w:start="3600" w:end="0"/>
        <w:rPr/>
      </w:pPr>
      <w:r>
        <w:rPr/>
        <w:t>the benefits of any Credit Support Document fail to extend (without the written consent of the other Party) to the performance by such resulting, surviving or transferee entity of its Obligations under an Agreement or this Collateral Agreement; or</w:t>
      </w:r>
    </w:p>
    <w:p>
      <w:pPr>
        <w:pStyle w:val="Normal"/>
        <w:tabs>
          <w:tab w:val="clear" w:pos="720"/>
          <w:tab w:val="left" w:pos="180" w:leader="none"/>
        </w:tabs>
        <w:ind w:start="2160" w:end="0"/>
        <w:rPr/>
      </w:pPr>
      <w:r>
        <w:rPr/>
      </w:r>
    </w:p>
    <w:p>
      <w:pPr>
        <w:pStyle w:val="Normal"/>
        <w:numPr>
          <w:ilvl w:val="0"/>
          <w:numId w:val="3"/>
        </w:numPr>
        <w:tabs>
          <w:tab w:val="clear" w:pos="720"/>
          <w:tab w:val="left" w:pos="180" w:leader="none"/>
          <w:tab w:val="left" w:pos="3600" w:leader="none"/>
        </w:tabs>
        <w:ind w:hanging="720" w:start="3600" w:end="0"/>
        <w:rPr/>
      </w:pPr>
      <w:r>
        <w:rPr/>
        <w:t>(i) the creditworthiness of the resulting entity is materially weaker than that of such Party or its Credit Support Provider immediately before such transfer, merger or consolidation or (ii) the merging Party’s Obligations are not assumed by operation of law or written instrument.  For purposes of this Paragraph, the resulting entity’s creditworthiness shall not be deemed materially weaker so long as the resulting entity, or its Credit Support Provider, maintains a credit rating of at least BBB- by S&amp;P and Baa3 by Moody’s.</w:t>
      </w:r>
    </w:p>
    <w:p>
      <w:pPr>
        <w:pStyle w:val="Normal"/>
        <w:tabs>
          <w:tab w:val="clear" w:pos="720"/>
          <w:tab w:val="left" w:pos="180" w:leader="none"/>
        </w:tabs>
        <w:rPr/>
      </w:pPr>
      <w:r>
        <w:rPr/>
      </w:r>
    </w:p>
    <w:p>
      <w:pPr>
        <w:pStyle w:val="Normal"/>
        <w:tabs>
          <w:tab w:val="clear" w:pos="720"/>
          <w:tab w:val="left" w:pos="180" w:leader="none"/>
        </w:tabs>
        <w:rPr/>
      </w:pPr>
      <w:r>
        <w:rPr/>
        <w:t>The Parties expressly agree and acknowledge that it is their intent to wholly supercede and replace the terms and conditions in the Agreements that (i) are otherwise defining the term “Event(s) of Default” per se, or in any manner affecting, adding to, subtracting from, modifying, altering or attempting to change in any manner the specific terms and conditions that have been designated as events, causes, circumstances, triggers, or conditions under the Collateral Agreement that (a) may or will lead to the termination of the Agreements, the Credit Support Documents or the Collateral Agreement; (b) cause the necessity of the performance of additional obligations under the terms of the Agreements, the Credit Support Documents or the Collateral Agreement due to the occurrence of the specific term and condition; or (c) must be cured in order to avoid the termination of the Agreement and/or Collateral Agreement; or (ii)  are designating or providing for cure periods within which a defaulting, breaching or delinquent party must perform certain actions in order to avoid the possible enforcement of the non-defaulting party’s rights and/or remedies under the terms of the Agreements, the Credit Support Documents and/or the Collateral Agreement.</w:t>
      </w:r>
    </w:p>
    <w:p>
      <w:pPr>
        <w:pStyle w:val="Normal"/>
        <w:tabs>
          <w:tab w:val="clear" w:pos="720"/>
          <w:tab w:val="left" w:pos="180" w:leader="none"/>
        </w:tabs>
        <w:rPr/>
      </w:pPr>
      <w:r>
        <w:rPr/>
      </w:r>
    </w:p>
    <w:p>
      <w:pPr>
        <w:pStyle w:val="Normal"/>
        <w:widowControl/>
        <w:rPr/>
      </w:pPr>
      <w:r>
        <w:rPr>
          <w:b/>
        </w:rPr>
        <w:t xml:space="preserve">Paragraph 10.  </w:t>
      </w:r>
      <w:r>
        <w:rPr>
          <w:b/>
          <w:u w:val="single"/>
        </w:rPr>
        <w:t>Requesting Party’s Rights and Remedies</w:t>
      </w:r>
      <w:r>
        <w:rPr>
          <w:b/>
        </w:rPr>
        <w:t>.</w:t>
      </w:r>
      <w:r>
        <w:rPr/>
        <w:t xml:space="preserve">  If at any time an Event of Default with respect to the Posting Party has occurred and is continuing beyond the cure periods otherwise provided under this Collateral Agreement, the Requesting Party may exercise (i) all rights and remedies available to a Requesting Party under the applicable law with respect to Posted Collateral held by or for the benefit of the Requesting Party, and (ii) the right to set-off any amounts payable by the Posting Party with respect to any Obligations under the Agreements against any Posted Collateral. </w:t>
      </w:r>
    </w:p>
    <w:p>
      <w:pPr>
        <w:pStyle w:val="Normal"/>
        <w:widowControl/>
        <w:rPr/>
      </w:pPr>
      <w:r>
        <w:rPr/>
      </w:r>
    </w:p>
    <w:p>
      <w:pPr>
        <w:pStyle w:val="Normal"/>
        <w:widowControl/>
        <w:rPr/>
      </w:pPr>
      <w:r>
        <w:rPr>
          <w:b/>
        </w:rPr>
        <w:t>Paragraph 11. Rights Upon An Event of Default.</w:t>
      </w:r>
      <w:r>
        <w:rPr/>
        <w:t xml:space="preserve">  After the occurrence of an Event of Default the Non-defaulting Party shall have the right, in addition to any other remedies provided under the applicable Agreement, the Credit Support Documents or this Collateral Agreement or at law, to: (i) withhold, or suspend delivery under the Agreements and (ii) liquidate and terminate all Transactions under the Agreements and compute a Net Settlement Amount payable by one Party to the other.  A Defaulting Party is required to immediately return all Eligible Collateral in its possession upon the occurrence of an Event of Default.</w:t>
      </w:r>
    </w:p>
    <w:p>
      <w:pPr>
        <w:pStyle w:val="Normal"/>
        <w:widowControl/>
        <w:rPr>
          <w:b/>
        </w:rPr>
      </w:pPr>
      <w:r>
        <w:rPr>
          <w:b/>
        </w:rPr>
      </w:r>
    </w:p>
    <w:p>
      <w:pPr>
        <w:pStyle w:val="Normal"/>
        <w:widowControl/>
        <w:rPr/>
      </w:pPr>
      <w:r>
        <w:rPr>
          <w:b/>
        </w:rPr>
        <w:t xml:space="preserve">Paragraph 12. </w:t>
      </w:r>
      <w:r>
        <w:rPr>
          <w:b/>
          <w:u w:val="single"/>
        </w:rPr>
        <w:t>Representations, Warranties and Covenants</w:t>
      </w:r>
      <w:r>
        <w:rPr>
          <w:b/>
        </w:rPr>
        <w:t xml:space="preserve">.  </w:t>
      </w:r>
      <w:r>
        <w:rPr/>
        <w:t>Each Party represents, warrants and covenants to the other Party (which representations will be deemed to be repeated as of each date on which it, as the Posting Party, transfers Eligible Collateral) that:</w:t>
      </w:r>
    </w:p>
    <w:p>
      <w:pPr>
        <w:pStyle w:val="Normal"/>
        <w:widowControl/>
        <w:tabs>
          <w:tab w:val="left" w:pos="720" w:leader="none"/>
        </w:tabs>
        <w:spacing w:before="0" w:after="240"/>
        <w:ind w:start="720" w:end="0"/>
        <w:rPr/>
      </w:pPr>
      <w:r>
        <w:rPr/>
      </w:r>
    </w:p>
    <w:p>
      <w:pPr>
        <w:pStyle w:val="Normal"/>
        <w:widowControl/>
        <w:spacing w:before="0" w:after="240"/>
        <w:ind w:hanging="720" w:start="1440" w:end="0"/>
        <w:rPr/>
      </w:pPr>
      <w:r>
        <w:rPr/>
        <w:t>(i)</w:t>
        <w:tab/>
        <w:t>to the extent applicable, it has the power to grant a security interest in and lien on the Eligible Collateral it transfers as the Posting Party and has taken all necessary actions to authorize the granting of that security interest and lien;</w:t>
      </w:r>
    </w:p>
    <w:p>
      <w:pPr>
        <w:pStyle w:val="Normal"/>
        <w:widowControl/>
        <w:tabs>
          <w:tab w:val="left" w:pos="720" w:leader="none"/>
        </w:tabs>
        <w:spacing w:before="0" w:after="240"/>
        <w:ind w:hanging="1440" w:start="1440" w:end="0"/>
        <w:rPr/>
      </w:pPr>
      <w:r>
        <w:rPr/>
        <w:tab/>
        <w:t>(ii)</w:t>
        <w:tab/>
        <w:t xml:space="preserve">it is the sole owner of or otherwise has the right to transfer Cash to or for the benefit of the Requesting Party hereunder, free and clear of any security interest, lien, encumbrance or other restrictions.  </w:t>
      </w:r>
    </w:p>
    <w:p>
      <w:pPr>
        <w:pStyle w:val="Normal"/>
        <w:widowControl/>
        <w:tabs>
          <w:tab w:val="left" w:pos="720" w:leader="none"/>
        </w:tabs>
        <w:spacing w:before="0" w:after="240"/>
        <w:ind w:hanging="1440" w:start="1440" w:end="0"/>
        <w:rPr/>
      </w:pPr>
      <w:r>
        <w:rPr/>
        <w:tab/>
        <w:t>(iii)</w:t>
        <w:tab/>
        <w:t>to the extent applicable, upon the transfer of the Eligible Collateral to the Requesting Party, and compliance by Requesting Party of its statutory requirements, under the terms of this Collateral Agreement, the Requesting Party will have a valid and perfected first priority security interest therein;</w:t>
      </w:r>
    </w:p>
    <w:p>
      <w:pPr>
        <w:pStyle w:val="Normal"/>
        <w:widowControl/>
        <w:tabs>
          <w:tab w:val="left" w:pos="720" w:leader="none"/>
        </w:tabs>
        <w:spacing w:before="0" w:after="240"/>
        <w:ind w:hanging="1440" w:start="1440" w:end="0"/>
        <w:rPr/>
      </w:pPr>
      <w:r>
        <w:rPr/>
        <w:tab/>
        <w:t>(iv)</w:t>
        <w:tab/>
        <w:t>the performance by it of its obligations under this Collateral Agreement will not result in the creation of any security interest, lien or other encumbrance on any Posted Collateral other than the security interest and lien created hereunder;</w:t>
      </w:r>
    </w:p>
    <w:p>
      <w:pPr>
        <w:pStyle w:val="Normal"/>
        <w:widowControl/>
        <w:tabs>
          <w:tab w:val="left" w:pos="720" w:leader="none"/>
        </w:tabs>
        <w:spacing w:before="0" w:after="240"/>
        <w:ind w:hanging="1440" w:start="1440" w:end="0"/>
        <w:rPr/>
      </w:pPr>
      <w:r>
        <w:rPr/>
        <w:tab/>
        <w:t>(v)</w:t>
        <w:tab/>
        <w:t>the execution and delivery of this Collateral Agreement by such Party has been duly authorized by all requisite action on the part of such Party and the shareholders or other equity interest owners of such Party and except as may have been obtained and may be necessary to perfect the security interest in any Eligible Collateral (other than Eligible Letters of Credit) transferred by such Party, no consent or approval of or filing with any governmental authority is necessary in connection with the execution, delivery and performance of this Collateral Agreement by such Party; and</w:t>
      </w:r>
    </w:p>
    <w:p>
      <w:pPr>
        <w:pStyle w:val="Normal"/>
        <w:widowControl/>
        <w:numPr>
          <w:ilvl w:val="0"/>
          <w:numId w:val="6"/>
        </w:numPr>
        <w:tabs>
          <w:tab w:val="left" w:pos="720" w:leader="none"/>
        </w:tabs>
        <w:spacing w:before="0" w:after="240"/>
        <w:rPr/>
      </w:pPr>
      <w:r>
        <w:rPr/>
        <w:t>this Collateral Agreement constitutes the valid and binding obligation of such Party and is enforceable against such Party in accordance with its terms, subject to laws affecting the rights of creditors generally and general principles of equity.</w:t>
      </w:r>
    </w:p>
    <w:p>
      <w:pPr>
        <w:pStyle w:val="Normal"/>
        <w:tabs>
          <w:tab w:val="clear" w:pos="720"/>
          <w:tab w:val="left" w:pos="180" w:leader="none"/>
        </w:tabs>
        <w:ind w:start="2160" w:end="0"/>
        <w:rPr/>
      </w:pPr>
      <w:r>
        <w:rPr/>
      </w:r>
    </w:p>
    <w:p>
      <w:pPr>
        <w:pStyle w:val="Normal"/>
        <w:widowControl/>
        <w:spacing w:before="0" w:after="240"/>
        <w:rPr/>
      </w:pPr>
      <w:r>
        <w:rPr>
          <w:b/>
        </w:rPr>
        <w:t xml:space="preserve">Paragraph 13.  </w:t>
      </w:r>
      <w:r>
        <w:rPr>
          <w:b/>
          <w:u w:val="single"/>
        </w:rPr>
        <w:t>Expenses</w:t>
      </w:r>
      <w:r>
        <w:rPr>
          <w:b/>
        </w:rPr>
        <w:t xml:space="preserve">.  </w:t>
      </w:r>
      <w:r>
        <w:rPr/>
        <w:t>The Posting Party shall promptly pay when due all taxes, assessments or charges of any nature that are imposed with respect to Posted Collateral held by the Requesting Party upon becoming aware of the same.  All reasonable costs and expenses incurred by or on behalf of the Requesting Party or the Posting Party in connection with the liquidation and/or application of any Posted Collateral pursuant to this Collateral Agreement will be payable, on demand, by the Defaulting Party or, if there is no Defaulting Party, by the Posting Party.  Except as provided in the preceding two sentences, or as otherwise provided for in this Agreement, each Party will pay its own costs and expenses in connection with performing its obligations under this Collateral Agreement and neither Party will be liable for any costs and expenses incurred by the other Party in connection herewith.</w:t>
      </w:r>
    </w:p>
    <w:p>
      <w:pPr>
        <w:pStyle w:val="Normal"/>
        <w:widowControl/>
        <w:spacing w:before="0" w:after="240"/>
        <w:rPr/>
      </w:pPr>
      <w:r>
        <w:rPr>
          <w:b/>
        </w:rPr>
        <w:t>Paragraph 14.</w:t>
      </w:r>
      <w:r>
        <w:rPr/>
        <w:t xml:space="preserve"> </w:t>
      </w:r>
      <w:r>
        <w:rPr>
          <w:b/>
          <w:u w:val="single"/>
        </w:rPr>
        <w:t>Other Obligations</w:t>
      </w:r>
      <w:r>
        <w:rPr>
          <w:b/>
        </w:rPr>
        <w:t xml:space="preserve">.  </w:t>
      </w:r>
      <w:r>
        <w:rPr/>
        <w:t>Upon demand made by a Party, the other Party will execute, deliver, file and record any financing statement, specific assignment or other document and take any other action that may be necessary or desirable and reasonably requested by that Party to create, preserve, perfect or validate any security interest or lien which might be granted as a result of this Agreement, to enable that Party to exercise or enforce its rights under this Collateral Agreement with respect to Posted Collateral or to effect or document a release of a security interest on Posted Collateral.  The Posting Party will promptly give notice to the Requesting Party of, and defend against, any suit, action, proceeding or lien that involves Posted Collateral transferred by the Posting Party or that could adversely affect the security interest and lien granted by it hereunder.  All demands and notices made by a Party under this Collateral Agreement will be sent to the following address:</w:t>
      </w:r>
    </w:p>
    <w:p>
      <w:pPr>
        <w:pStyle w:val="Normal"/>
        <w:widowControl/>
        <w:rPr/>
      </w:pPr>
      <w:r>
        <w:rPr/>
        <w:t>Duke Energy Trading and Marketing, L.L.C.</w:t>
      </w:r>
    </w:p>
    <w:p>
      <w:pPr>
        <w:pStyle w:val="Normal"/>
        <w:widowControl/>
        <w:rPr/>
      </w:pPr>
      <w:r>
        <w:rPr/>
        <w:t>Collateral Desk - Credit Risk Group</w:t>
      </w:r>
    </w:p>
    <w:p>
      <w:pPr>
        <w:pStyle w:val="Byline"/>
        <w:widowControl/>
        <w:spacing w:before="0" w:after="0"/>
        <w:rPr/>
      </w:pPr>
      <w:r>
        <w:rPr/>
        <w:t>5400 Westheimer Court</w:t>
      </w:r>
    </w:p>
    <w:p>
      <w:pPr>
        <w:pStyle w:val="Normal"/>
        <w:widowControl/>
        <w:rPr/>
      </w:pPr>
      <w:r>
        <w:rPr/>
        <w:t>Houston, TX, 77056</w:t>
      </w:r>
    </w:p>
    <w:p>
      <w:pPr>
        <w:pStyle w:val="Normal"/>
        <w:widowControl/>
        <w:rPr/>
      </w:pPr>
      <w:r>
        <w:rPr/>
        <w:t>Phone:</w:t>
        <w:tab/>
        <w:tab/>
        <w:t>(713) 627-5400</w:t>
      </w:r>
    </w:p>
    <w:p>
      <w:pPr>
        <w:pStyle w:val="Normal"/>
        <w:widowControl/>
        <w:rPr/>
      </w:pPr>
      <w:r>
        <w:rPr/>
        <w:t>Facsimile:</w:t>
      </w:r>
    </w:p>
    <w:p>
      <w:pPr>
        <w:pStyle w:val="Normal"/>
        <w:widowControl/>
        <w:spacing w:before="0" w:after="100"/>
        <w:rPr/>
      </w:pPr>
      <w:r>
        <w:rPr/>
      </w:r>
    </w:p>
    <w:p>
      <w:pPr>
        <w:pStyle w:val="Normal"/>
        <w:widowControl/>
        <w:spacing w:before="0" w:after="100"/>
        <w:rPr/>
      </w:pPr>
      <w:r>
        <w:rPr>
          <w:u w:val="single"/>
        </w:rPr>
        <w:t>Counterparty</w:t>
      </w:r>
      <w:r>
        <w:rPr/>
        <w:t>:</w:t>
      </w:r>
    </w:p>
    <w:p>
      <w:pPr>
        <w:pStyle w:val="Normal"/>
        <w:widowControl/>
        <w:spacing w:before="0" w:after="100"/>
        <w:rPr/>
      </w:pPr>
      <w:r>
        <w:rPr/>
        <w:t>Enron North America Corporation</w:t>
      </w:r>
    </w:p>
    <w:p>
      <w:pPr>
        <w:pStyle w:val="Normal"/>
        <w:widowControl/>
        <w:spacing w:before="0" w:after="100"/>
        <w:rPr>
          <w:highlight w:val="yellow"/>
        </w:rPr>
      </w:pPr>
      <w:r>
        <w:rPr>
          <w:highlight w:val="yellow"/>
        </w:rPr>
        <w:t>PLEASE COMPLETE</w:t>
      </w:r>
    </w:p>
    <w:p>
      <w:pPr>
        <w:pStyle w:val="Normal"/>
        <w:widowControl/>
        <w:spacing w:before="0" w:after="100"/>
        <w:rPr/>
      </w:pPr>
      <w:r>
        <w:rPr/>
      </w:r>
    </w:p>
    <w:p>
      <w:pPr>
        <w:pStyle w:val="Normal"/>
        <w:widowControl/>
        <w:spacing w:before="0" w:after="240"/>
        <w:rPr/>
      </w:pPr>
      <w:r>
        <w:rPr/>
        <w:t>Notices shall be in writing and may be delivered by hand delivery, United States mail, overnight courier service or facsimile.  Unless otherwise provided in this Agreement, notice by facsimile or hand delivery shall be effective at the close of business on the day actually received if received during business hours on a Business Day, and otherwise shall be effective at the close of business of the next Business Day.  Notice by overnight mail or courier shall be effective on the next Business Day after it was sent.</w:t>
      </w:r>
    </w:p>
    <w:p>
      <w:pPr>
        <w:pStyle w:val="Normal"/>
        <w:widowControl/>
        <w:spacing w:before="0" w:after="240"/>
        <w:rPr/>
      </w:pPr>
      <w:r>
        <w:rPr>
          <w:b/>
        </w:rPr>
        <w:t>Paragraph 15.</w:t>
      </w:r>
      <w:r>
        <w:rPr/>
        <w:t xml:space="preserve">  </w:t>
      </w:r>
      <w:r>
        <w:rPr>
          <w:b/>
          <w:u w:val="single"/>
        </w:rPr>
        <w:t>Forward Contract.</w:t>
      </w:r>
      <w:r>
        <w:rPr/>
        <w:t xml:space="preserve">  Each Party acknowledges that it is a forward contract merchant as such term is defined in Section 546(e) of the U.S. Bankruptcy Code (the “Code”) and the Transactions and Agreements covered by this Collateral Agreement constitute forward contracts as defined in Section 101(25) of the Code. </w:t>
      </w:r>
    </w:p>
    <w:p>
      <w:pPr>
        <w:pStyle w:val="Normal"/>
        <w:widowControl/>
        <w:spacing w:before="0" w:after="240"/>
        <w:rPr/>
      </w:pPr>
      <w:r>
        <w:rPr>
          <w:b/>
        </w:rPr>
        <w:t>Paragraph 16</w:t>
      </w:r>
      <w:r>
        <w:rPr/>
        <w:t xml:space="preserve">.  </w:t>
      </w:r>
      <w:r>
        <w:rPr>
          <w:b/>
          <w:u w:val="single"/>
        </w:rPr>
        <w:t>Assignment</w:t>
      </w:r>
      <w:r>
        <w:rPr>
          <w:b/>
        </w:rPr>
        <w:t>.</w:t>
      </w:r>
      <w:r>
        <w:rPr/>
        <w:t xml:space="preserve">  A Party may assign its rights under this Collateral Agreement with the prior written consent of the other Party, which consent shall not be unreasonably withheld.    In the event separate parties are assignees of separate Agreements covered by this Collateral Agreement, each assignee shall agree to enter into a similar collateral agreement.  Each Party acknowledges in doing so its Collateral Threshold Amount may be reduced accordingly.</w:t>
      </w:r>
    </w:p>
    <w:p>
      <w:pPr>
        <w:pStyle w:val="Normal"/>
        <w:widowControl/>
        <w:rPr/>
      </w:pPr>
      <w:r>
        <w:rPr>
          <w:b/>
        </w:rPr>
        <w:t xml:space="preserve">Paragraph 17.  </w:t>
      </w:r>
      <w:r>
        <w:rPr>
          <w:b/>
          <w:u w:val="single"/>
        </w:rPr>
        <w:t>Governing Law</w:t>
      </w:r>
      <w:r>
        <w:rPr>
          <w:rStyle w:val="outtext"/>
          <w:b/>
          <w:sz w:val="24"/>
        </w:rPr>
        <w:t xml:space="preserve">.  </w:t>
      </w:r>
      <w:r>
        <w:rPr>
          <w:rStyle w:val="outtext"/>
          <w:sz w:val="24"/>
        </w:rPr>
        <w:t>THE VALIDITY, CONSTRUCTION, INTERPRETATION AND EFFECT OF THIS COLLATERAL AGREEMENT SHALL BE GOVERNED BY THE LAWS OF THE STATE OF NEW YORK WITHOUT REGARD TO PRINCIPLES OF CONFLICTS OF LAW.</w:t>
      </w:r>
    </w:p>
    <w:p>
      <w:pPr>
        <w:pStyle w:val="Footer"/>
        <w:widowControl/>
        <w:tabs>
          <w:tab w:val="clear" w:pos="4680"/>
          <w:tab w:val="clear" w:pos="9360"/>
        </w:tabs>
        <w:rPr/>
      </w:pPr>
      <w:r>
        <w:rPr/>
      </w:r>
    </w:p>
    <w:p>
      <w:pPr>
        <w:pStyle w:val="Normal"/>
        <w:widowControl/>
        <w:tabs>
          <w:tab w:val="clear" w:pos="720"/>
          <w:tab w:val="left" w:pos="1440" w:leader="none"/>
          <w:tab w:val="left" w:pos="1800" w:leader="none"/>
          <w:tab w:val="left" w:pos="2160" w:leader="none"/>
        </w:tabs>
        <w:rPr/>
      </w:pPr>
      <w:r>
        <w:rPr>
          <w:b/>
        </w:rPr>
        <w:t xml:space="preserve">Paragraph 18.  </w:t>
      </w:r>
      <w:r>
        <w:rPr>
          <w:b/>
          <w:u w:val="single"/>
        </w:rPr>
        <w:t>Waiver of Jury Trial</w:t>
      </w:r>
      <w:r>
        <w:rPr>
          <w:rStyle w:val="outtext"/>
          <w:b/>
          <w:sz w:val="24"/>
        </w:rPr>
        <w:t xml:space="preserve">.  </w:t>
      </w:r>
      <w:r>
        <w:rPr>
          <w:rStyle w:val="outtext"/>
          <w:sz w:val="24"/>
        </w:rPr>
        <w:t>EACH PARTY WAIVES, TO THE FULLEST EXTENT PERMITTED BY APPLICABLE LAW, ANY RIGHT IT MAY HAVE TO A TRIAL BY JURY IN RESPECT OF ANY SUIT, ACTION, CLAIM OR PROCEEDING RELATING TO THIS COLLATERAL AGREEMENT.</w:t>
      </w:r>
    </w:p>
    <w:p>
      <w:pPr>
        <w:pStyle w:val="Normal"/>
        <w:widowControl/>
        <w:rPr>
          <w:rStyle w:val="outtext"/>
          <w:sz w:val="24"/>
        </w:rPr>
      </w:pPr>
      <w:r>
        <w:rPr/>
      </w:r>
    </w:p>
    <w:p>
      <w:pPr>
        <w:pStyle w:val="Normal"/>
        <w:widowControl/>
        <w:tabs>
          <w:tab w:val="clear" w:pos="720"/>
          <w:tab w:val="left" w:pos="1800" w:leader="none"/>
        </w:tabs>
        <w:rPr>
          <w:rStyle w:val="outtext"/>
          <w:sz w:val="24"/>
        </w:rPr>
      </w:pPr>
      <w:r>
        <w:rPr>
          <w:rStyle w:val="outtext"/>
          <w:b/>
          <w:sz w:val="24"/>
        </w:rPr>
        <w:t>Paragraph 19</w:t>
      </w:r>
      <w:r>
        <w:rPr>
          <w:rStyle w:val="outtext"/>
          <w:sz w:val="24"/>
        </w:rPr>
        <w:t>.</w:t>
        <w:tab/>
      </w:r>
      <w:r>
        <w:rPr>
          <w:rStyle w:val="outtext"/>
          <w:b/>
          <w:sz w:val="24"/>
          <w:u w:val="single"/>
        </w:rPr>
        <w:t>Term</w:t>
      </w:r>
      <w:r>
        <w:rPr>
          <w:rStyle w:val="outtext"/>
          <w:sz w:val="24"/>
        </w:rPr>
        <w:t xml:space="preserve">. </w:t>
      </w:r>
      <w:r>
        <w:rPr/>
        <w:t>This Collateral Agreement shall remain in effect until terminated by either Party on thirty (30) Days written notice, subject to any termination rights otherwise set forth herein.  If one or more Transactions pursuant to any Agreement(s) are in effect, termination of the Collateral Agreement shall not be effective until the expiration of the latest delivery period under such Transaction.  Upon the termination of this Collateral Agreement, any terms and conditions of the Agreements that have otherwise been superceded, amended, modified, or replaced by the terms and conditions of this Collateral Agreement, shall be revived and shall otherwise govern any future Transactions that may be entered into by the Parties under the terms of the surviving Agreements.</w:t>
      </w:r>
    </w:p>
    <w:p>
      <w:pPr>
        <w:pStyle w:val="Footer"/>
        <w:widowControl/>
        <w:tabs>
          <w:tab w:val="clear" w:pos="4680"/>
          <w:tab w:val="clear" w:pos="9360"/>
        </w:tabs>
        <w:rPr>
          <w:rStyle w:val="outtext"/>
          <w:sz w:val="24"/>
        </w:rPr>
      </w:pPr>
      <w:r>
        <w:rPr/>
      </w:r>
    </w:p>
    <w:p>
      <w:pPr>
        <w:pStyle w:val="Normal"/>
        <w:widowControl/>
        <w:tabs>
          <w:tab w:val="left" w:pos="720" w:leader="none"/>
        </w:tabs>
        <w:rPr/>
      </w:pPr>
      <w:r>
        <w:rPr>
          <w:b/>
        </w:rPr>
        <w:t xml:space="preserve">Paragraph 20.  </w:t>
      </w:r>
      <w:r>
        <w:rPr>
          <w:b/>
          <w:u w:val="single"/>
        </w:rPr>
        <w:t>General</w:t>
      </w:r>
      <w:r>
        <w:rPr>
          <w:rStyle w:val="outtext"/>
          <w:b/>
          <w:sz w:val="24"/>
        </w:rPr>
        <w:t>.</w:t>
      </w:r>
      <w:r>
        <w:rPr>
          <w:rStyle w:val="outtext"/>
          <w:sz w:val="24"/>
        </w:rPr>
        <w:t xml:space="preserve">  This </w:t>
      </w:r>
      <w:r>
        <w:rPr/>
        <w:t>Collateral Agreement</w:t>
      </w:r>
      <w:r>
        <w:rPr>
          <w:rStyle w:val="outtext"/>
          <w:sz w:val="24"/>
        </w:rPr>
        <w:t xml:space="preserve"> constitutes the entire agreement between the Parties relating to the subject matter contemplated by this </w:t>
      </w:r>
      <w:r>
        <w:rPr/>
        <w:t>Collateral Agreement (which is deemed to include the delivery of Collateral and the impact of this Collateral Agreement on the underlying Agreements as set forth in Paragraph 10 hereof), save and except for the terms and conditions for the purchase and sale of natural gas and power under the Agreements that are not specifically modified herein.</w:t>
      </w:r>
      <w:r>
        <w:rPr>
          <w:rStyle w:val="outtext"/>
          <w:sz w:val="24"/>
        </w:rPr>
        <w:t xml:space="preserve">  No amendment or modification to this </w:t>
      </w:r>
      <w:r>
        <w:rPr/>
        <w:t>Collateral Agreement</w:t>
      </w:r>
      <w:r>
        <w:rPr>
          <w:rStyle w:val="outtext"/>
          <w:sz w:val="24"/>
        </w:rPr>
        <w:t xml:space="preserve"> shall be enforceable unless reduced to writing and executed by both Parties.  This </w:t>
      </w:r>
      <w:r>
        <w:rPr/>
        <w:t>Collateral Agreement</w:t>
      </w:r>
      <w:r>
        <w:rPr>
          <w:rStyle w:val="outtext"/>
          <w:sz w:val="24"/>
        </w:rPr>
        <w:t xml:space="preserve"> shall not impart any rights enforceable by any third party (other than a permitted successor or assignee bound to this </w:t>
      </w:r>
      <w:r>
        <w:rPr/>
        <w:t>Collateral Agreement</w:t>
      </w:r>
      <w:r>
        <w:rPr>
          <w:rStyle w:val="outtext"/>
          <w:sz w:val="24"/>
        </w:rPr>
        <w:t xml:space="preserve">).  No waiver by a Party of any default by the other Party shall be construed as a waiver of any other default.  Nothing in this </w:t>
      </w:r>
      <w:r>
        <w:rPr/>
        <w:t>Collateral Agreement</w:t>
      </w:r>
      <w:r>
        <w:rPr>
          <w:rStyle w:val="outtext"/>
          <w:sz w:val="24"/>
        </w:rPr>
        <w:t xml:space="preserve"> shall be construed to create a partnership or joint venture between the Parties.  Any provision declared or rendered unlawful by any applicable court of law or regulatory agency or deemed unlawful because of a statutory change will not otherwise affect the remaining lawful obligations that arise under this </w:t>
      </w:r>
      <w:r>
        <w:rPr/>
        <w:t>Collateral Agreement</w:t>
      </w:r>
      <w:r>
        <w:rPr>
          <w:rStyle w:val="outtext"/>
          <w:sz w:val="24"/>
        </w:rPr>
        <w:t xml:space="preserve">. </w:t>
      </w:r>
      <w:r>
        <w:rPr/>
        <w:t>This Collateral Agreement may be executed in several counterparts, and all such counterparts shall constitute one agreement binding on both Parties hereto and shall have the same force and effect as an original instrument.</w:t>
      </w:r>
      <w:r>
        <w:rPr>
          <w:rStyle w:val="outtext"/>
          <w:sz w:val="24"/>
        </w:rPr>
        <w:t xml:space="preserve"> </w:t>
      </w:r>
      <w:r>
        <w:rPr/>
        <w:t xml:space="preserve">The language used in this Collateral Agreement is the product of both Parties’ efforts and each Party hereby irrevocably waives the benefit of any rule of contract construction which disfavors the drafter of a contract or the drafter of specific language in a contract.  </w:t>
      </w:r>
      <w:r>
        <w:rPr>
          <w:rStyle w:val="outtext"/>
          <w:sz w:val="24"/>
        </w:rPr>
        <w:t xml:space="preserve">The term “including” when used in this </w:t>
      </w:r>
      <w:r>
        <w:rPr/>
        <w:t>Collateral Agreement</w:t>
      </w:r>
      <w:r>
        <w:rPr>
          <w:rStyle w:val="outtext"/>
          <w:sz w:val="24"/>
        </w:rPr>
        <w:t xml:space="preserve"> shall be by way of example only and shall not be considered in any way to be in limitation.  The headings used herein are for convenience and reference purposes only.</w:t>
      </w:r>
    </w:p>
    <w:p>
      <w:pPr>
        <w:pStyle w:val="Normal"/>
        <w:widowControl/>
        <w:tabs>
          <w:tab w:val="left" w:pos="720" w:leader="none"/>
        </w:tabs>
        <w:rPr>
          <w:rStyle w:val="outtext"/>
          <w:sz w:val="24"/>
        </w:rPr>
      </w:pPr>
      <w:r>
        <w:rPr/>
      </w:r>
    </w:p>
    <w:p>
      <w:pPr>
        <w:pStyle w:val="Normal"/>
        <w:widowControl/>
        <w:rPr>
          <w:rStyle w:val="outtext"/>
          <w:sz w:val="24"/>
        </w:rPr>
      </w:pPr>
      <w:r>
        <w:rPr/>
      </w:r>
    </w:p>
    <w:p>
      <w:pPr>
        <w:pStyle w:val="1TAB"/>
        <w:keepNext w:val="true"/>
        <w:keepLines/>
        <w:widowControl/>
        <w:rPr/>
      </w:pPr>
      <w:r>
        <w:rPr/>
        <w:t>The Parties have executed this Collateral Agreement in multiple counterparts to be construed as one agreement effective as of the Effective Date.</w:t>
      </w:r>
    </w:p>
    <w:p>
      <w:pPr>
        <w:pStyle w:val="Normal"/>
        <w:keepNext w:val="true"/>
        <w:keepLines/>
        <w:widowControl/>
        <w:rPr>
          <w:b/>
        </w:rPr>
      </w:pPr>
      <w:r>
        <w:rPr>
          <w:b/>
        </w:rPr>
        <w:t>DUKE ENERGY TRADING AND MARKETING, L.L.C.</w:t>
      </w:r>
    </w:p>
    <w:p>
      <w:pPr>
        <w:pStyle w:val="Normal"/>
        <w:keepNext w:val="true"/>
        <w:keepLines/>
        <w:widowControl/>
        <w:ind w:firstLine="5040" w:end="0"/>
        <w:rPr>
          <w:b/>
        </w:rPr>
      </w:pPr>
      <w:r>
        <w:rPr>
          <w:b/>
        </w:rPr>
      </w:r>
    </w:p>
    <w:p>
      <w:pPr>
        <w:pStyle w:val="Normal"/>
        <w:keepNext w:val="true"/>
        <w:keepLines/>
        <w:widowControl/>
        <w:rPr/>
      </w:pPr>
      <w:r>
        <w:rPr/>
        <w:t>By:</w:t>
        <w:tab/>
      </w:r>
      <w:r>
        <w:rPr>
          <w:u w:val="single"/>
        </w:rPr>
        <w:tab/>
        <w:tab/>
        <w:tab/>
        <w:tab/>
        <w:tab/>
      </w:r>
    </w:p>
    <w:p>
      <w:pPr>
        <w:pStyle w:val="Normal"/>
        <w:keepNext w:val="true"/>
        <w:keepLines/>
        <w:widowControl/>
        <w:rPr/>
      </w:pPr>
      <w:r>
        <w:rPr/>
        <w:t>Name:</w:t>
        <w:tab/>
      </w:r>
      <w:r>
        <w:rPr>
          <w:u w:val="single"/>
        </w:rPr>
        <w:tab/>
        <w:tab/>
        <w:tab/>
        <w:tab/>
        <w:tab/>
      </w:r>
    </w:p>
    <w:p>
      <w:pPr>
        <w:pStyle w:val="Normal"/>
        <w:keepNext w:val="true"/>
        <w:keepLines/>
        <w:widowControl/>
        <w:rPr/>
      </w:pPr>
      <w:r>
        <w:rPr/>
        <w:t>Title:</w:t>
        <w:tab/>
      </w:r>
      <w:r>
        <w:rPr>
          <w:u w:val="single"/>
        </w:rPr>
        <w:tab/>
        <w:tab/>
        <w:tab/>
        <w:tab/>
        <w:tab/>
      </w:r>
    </w:p>
    <w:p>
      <w:pPr>
        <w:pStyle w:val="Normal"/>
        <w:keepNext w:val="true"/>
        <w:keepLines/>
        <w:widowControl/>
        <w:ind w:firstLine="5040" w:end="0"/>
        <w:rPr>
          <w:u w:val="single"/>
        </w:rPr>
      </w:pPr>
      <w:r>
        <w:rPr>
          <w:u w:val="single"/>
        </w:rPr>
      </w:r>
    </w:p>
    <w:p>
      <w:pPr>
        <w:pStyle w:val="Normal"/>
        <w:keepNext w:val="true"/>
        <w:keepLines/>
        <w:widowControl/>
        <w:ind w:firstLine="5040" w:end="0"/>
        <w:rPr/>
      </w:pPr>
      <w:r>
        <w:rPr/>
      </w:r>
    </w:p>
    <w:p>
      <w:pPr>
        <w:pStyle w:val="Normal"/>
        <w:keepNext w:val="true"/>
        <w:keepLines/>
        <w:widowControl/>
        <w:rPr>
          <w:b/>
        </w:rPr>
      </w:pPr>
      <w:r>
        <w:rPr>
          <w:b/>
        </w:rPr>
        <w:t>[COUNTERPARTY]</w:t>
      </w:r>
    </w:p>
    <w:p>
      <w:pPr>
        <w:pStyle w:val="Normal"/>
        <w:keepNext w:val="true"/>
        <w:keepLines/>
        <w:widowControl/>
        <w:ind w:firstLine="5040" w:end="0"/>
        <w:rPr>
          <w:b/>
        </w:rPr>
      </w:pPr>
      <w:r>
        <w:rPr>
          <w:b/>
        </w:rPr>
      </w:r>
    </w:p>
    <w:p>
      <w:pPr>
        <w:pStyle w:val="Normal"/>
        <w:keepNext w:val="true"/>
        <w:keepLines/>
        <w:widowControl/>
        <w:rPr/>
      </w:pPr>
      <w:r>
        <w:rPr/>
        <w:t>By:</w:t>
        <w:tab/>
      </w:r>
      <w:r>
        <w:rPr>
          <w:u w:val="single"/>
        </w:rPr>
        <w:tab/>
        <w:tab/>
        <w:tab/>
        <w:tab/>
        <w:tab/>
      </w:r>
    </w:p>
    <w:p>
      <w:pPr>
        <w:pStyle w:val="Normal"/>
        <w:keepLines/>
        <w:widowControl/>
        <w:rPr/>
      </w:pPr>
      <w:r>
        <w:rPr/>
        <w:t>Name:</w:t>
        <w:tab/>
      </w:r>
      <w:r>
        <w:rPr>
          <w:u w:val="single"/>
        </w:rPr>
        <w:tab/>
        <w:tab/>
        <w:tab/>
        <w:tab/>
        <w:tab/>
      </w:r>
    </w:p>
    <w:p>
      <w:pPr>
        <w:pStyle w:val="Normal"/>
        <w:keepLines/>
        <w:widowControl/>
        <w:rPr/>
      </w:pPr>
      <w:r>
        <w:rPr/>
        <w:t>Title:</w:t>
        <w:tab/>
      </w:r>
      <w:r>
        <w:rPr>
          <w:u w:val="single"/>
        </w:rPr>
        <w:tab/>
        <w:tab/>
        <w:tab/>
        <w:tab/>
        <w:tab/>
      </w:r>
    </w:p>
    <w:p>
      <w:pPr>
        <w:pStyle w:val="Normal"/>
        <w:keepLines/>
        <w:widowControl/>
        <w:rPr>
          <w:u w:val="single"/>
        </w:rPr>
      </w:pPr>
      <w:r>
        <w:rPr>
          <w:u w:val="single"/>
        </w:rPr>
      </w:r>
      <w:r>
        <w:br w:type="page"/>
      </w:r>
    </w:p>
    <w:p>
      <w:pPr>
        <w:pStyle w:val="Normal"/>
        <w:keepLines/>
        <w:widowControl/>
        <w:jc w:val="center"/>
        <w:rPr>
          <w:u w:val="single"/>
        </w:rPr>
      </w:pPr>
      <w:r>
        <w:rPr>
          <w:u w:val="single"/>
        </w:rPr>
        <w:t>EXHIBIT A</w:t>
      </w:r>
    </w:p>
    <w:p>
      <w:pPr>
        <w:pStyle w:val="Normal"/>
        <w:keepLines/>
        <w:widowControl/>
        <w:jc w:val="center"/>
        <w:rPr>
          <w:u w:val="single"/>
        </w:rPr>
      </w:pPr>
      <w:r>
        <w:rPr>
          <w:u w:val="single"/>
        </w:rPr>
      </w:r>
    </w:p>
    <w:p>
      <w:pPr>
        <w:pStyle w:val="Normal"/>
        <w:keepLines/>
        <w:widowControl/>
        <w:rPr>
          <w:u w:val="single"/>
        </w:rPr>
      </w:pPr>
      <w:r>
        <w:rPr>
          <w:u w:val="single"/>
        </w:rPr>
        <w:t>Account Information:</w:t>
      </w:r>
    </w:p>
    <w:p>
      <w:pPr>
        <w:pStyle w:val="Normal"/>
        <w:keepLines/>
        <w:widowControl/>
        <w:rPr>
          <w:u w:val="single"/>
        </w:rPr>
      </w:pPr>
      <w:r>
        <w:rPr>
          <w:u w:val="single"/>
        </w:rPr>
      </w:r>
    </w:p>
    <w:p>
      <w:pPr>
        <w:pStyle w:val="Normal"/>
        <w:widowControl/>
        <w:jc w:val="start"/>
        <w:rPr>
          <w:rFonts w:ascii="Arial" w:hAnsi="Arial" w:cs="Arial"/>
          <w:color w:val="0000FF"/>
        </w:rPr>
      </w:pPr>
      <w:r>
        <w:rPr>
          <w:rFonts w:cs="Arial" w:ascii="Arial" w:hAnsi="Arial"/>
          <w:color w:val="0000FF"/>
        </w:rPr>
        <w:t>CHASE MANHATTAN BANK,</w:t>
      </w:r>
    </w:p>
    <w:p>
      <w:pPr>
        <w:pStyle w:val="Normal"/>
        <w:widowControl/>
        <w:jc w:val="start"/>
        <w:rPr>
          <w:rFonts w:ascii="Arial" w:hAnsi="Arial" w:cs="Arial"/>
          <w:color w:val="0000FF"/>
        </w:rPr>
      </w:pPr>
      <w:r>
        <w:rPr>
          <w:rFonts w:cs="Arial" w:ascii="Arial" w:hAnsi="Arial"/>
          <w:color w:val="0000FF"/>
        </w:rPr>
        <w:t>NEW YORK, NEW YORK</w:t>
      </w:r>
    </w:p>
    <w:p>
      <w:pPr>
        <w:pStyle w:val="Normal"/>
        <w:widowControl/>
        <w:jc w:val="start"/>
        <w:rPr>
          <w:rFonts w:ascii="Arial" w:hAnsi="Arial" w:cs="Arial"/>
          <w:color w:val="0000FF"/>
        </w:rPr>
      </w:pPr>
      <w:r>
        <w:rPr>
          <w:rFonts w:cs="Arial" w:ascii="Arial" w:hAnsi="Arial"/>
          <w:color w:val="0000FF"/>
        </w:rPr>
        <w:t>F/A/O DUKE ENEGY TRADING AND MARKETING, LLC</w:t>
      </w:r>
    </w:p>
    <w:p>
      <w:pPr>
        <w:pStyle w:val="Normal"/>
        <w:widowControl/>
        <w:jc w:val="start"/>
        <w:rPr>
          <w:rFonts w:ascii="Arial" w:hAnsi="Arial" w:cs="Arial"/>
          <w:color w:val="0000FF"/>
        </w:rPr>
      </w:pPr>
      <w:r>
        <w:rPr>
          <w:rFonts w:cs="Arial" w:ascii="Arial" w:hAnsi="Arial"/>
          <w:color w:val="0000FF"/>
        </w:rPr>
        <w:t>ABA #021000021</w:t>
      </w:r>
    </w:p>
    <w:p>
      <w:pPr>
        <w:pStyle w:val="Normal"/>
        <w:widowControl/>
        <w:jc w:val="start"/>
        <w:rPr>
          <w:rFonts w:ascii="Arial" w:hAnsi="Arial" w:cs="Arial"/>
          <w:color w:val="0000FF"/>
        </w:rPr>
      </w:pPr>
      <w:r>
        <w:rPr>
          <w:rFonts w:cs="Arial" w:ascii="Arial" w:hAnsi="Arial"/>
          <w:color w:val="0000FF"/>
        </w:rPr>
        <w:t>ACCOUNT:  910-2-771285</w:t>
      </w:r>
    </w:p>
    <w:p>
      <w:pPr>
        <w:pStyle w:val="Normal"/>
        <w:keepLines/>
        <w:widowControl/>
        <w:rPr>
          <w:rFonts w:ascii="Arial" w:hAnsi="Arial" w:cs="Arial"/>
          <w:color w:val="0000FF"/>
        </w:rPr>
      </w:pPr>
      <w:r>
        <w:rPr>
          <w:rFonts w:cs="Arial" w:ascii="Arial" w:hAnsi="Arial"/>
          <w:color w:val="0000FF"/>
        </w:rPr>
        <w:t>RE:  ENRON NORTH AMERICA CORPORATION</w:t>
      </w:r>
    </w:p>
    <w:p>
      <w:pPr>
        <w:pStyle w:val="Normal"/>
        <w:keepLines/>
        <w:widowControl/>
        <w:rPr>
          <w:rFonts w:ascii="Arial" w:hAnsi="Arial" w:cs="Arial"/>
          <w:color w:val="0000FF"/>
        </w:rPr>
      </w:pPr>
      <w:r>
        <w:rPr>
          <w:rFonts w:cs="Arial" w:ascii="Arial" w:hAnsi="Arial"/>
          <w:color w:val="0000FF"/>
        </w:rPr>
      </w:r>
    </w:p>
    <w:p>
      <w:pPr>
        <w:pStyle w:val="Normal"/>
        <w:keepLines/>
        <w:widowControl/>
        <w:rPr>
          <w:rFonts w:ascii="Arial" w:hAnsi="Arial" w:cs="Arial"/>
          <w:color w:val="0000FF"/>
        </w:rPr>
      </w:pPr>
      <w:r>
        <w:rPr>
          <w:rFonts w:cs="Arial" w:ascii="Arial" w:hAnsi="Arial"/>
          <w:color w:val="0000FF"/>
          <w:highlight w:val="yellow"/>
        </w:rPr>
        <w:t>PLEASE COMPLETE</w:t>
      </w:r>
    </w:p>
    <w:p>
      <w:pPr>
        <w:pStyle w:val="Normal"/>
        <w:keepLines/>
        <w:widowControl/>
        <w:rPr>
          <w:rFonts w:ascii="Arial" w:hAnsi="Arial" w:cs="Arial"/>
          <w:color w:val="0000FF"/>
          <w:u w:val="single"/>
        </w:rPr>
      </w:pPr>
      <w:r>
        <w:rPr>
          <w:rFonts w:cs="Arial" w:ascii="Arial" w:hAnsi="Arial"/>
          <w:color w:val="0000FF"/>
          <w:u w:val="single"/>
        </w:rPr>
      </w:r>
    </w:p>
    <w:sectPr>
      <w:footerReference w:type="default" r:id="rId2"/>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before="0" w:after="160"/>
      <w:rPr>
        <w:rStyle w:val="DOCSFooter"/>
        <w:rFonts w:ascii="Times New Roman" w:hAnsi="Times New Roman" w:cs="Times New Roman"/>
        <w:color w:val="000000"/>
      </w:rPr>
    </w:pPr>
    <w:r>
      <w:rPr/>
    </w:r>
    <w:bookmarkStart w:id="0" w:name="DOCSFooter0"/>
    <w:bookmarkStart w:id="1" w:name="DOCSFooter0"/>
    <w:bookmarkEnd w:id="1"/>
    <w:r>
      <mc:AlternateContent>
        <mc:Choice Requires="wps">
          <w:drawing>
            <wp:anchor behindDoc="0" distT="0" distB="0" distL="0" distR="0" simplePos="0" locked="0" layoutInCell="0" allowOverlap="1" relativeHeight="16">
              <wp:simplePos x="0" y="0"/>
              <wp:positionH relativeFrom="margin">
                <wp:align>center</wp:align>
              </wp:positionH>
              <wp:positionV relativeFrom="paragraph">
                <wp:posOffset>635</wp:posOffset>
              </wp:positionV>
              <wp:extent cx="1530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7165"/>
                      </a:xfrm>
                      <a:prstGeom prst="rect"/>
                      <a:solidFill>
                        <a:srgbClr val="FFFFFF">
                          <a:alpha val="0"/>
                        </a:srgbClr>
                      </a:solidFill>
                    </wps:spPr>
                    <wps:txbx>
                      <w:txbxContent>
                        <w:p>
                          <w:pPr>
                            <w:pStyle w:val="Footer"/>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15</w:t>
                          </w:r>
                          <w:r>
                            <w:rPr>
                              <w:rStyle w:val="PageNumber"/>
                              <w:sz w:val="24"/>
                            </w:rPr>
                            <w:fldChar w:fldCharType="end"/>
                          </w:r>
                        </w:p>
                      </w:txbxContent>
                    </wps:txbx>
                    <wps:bodyPr anchor="t" lIns="0" tIns="0" rIns="0" bIns="0">
                      <a:noAutofit/>
                    </wps:bodyPr>
                  </wps:wsp>
                </a:graphicData>
              </a:graphic>
            </wp:anchor>
          </w:drawing>
        </mc:Choice>
        <mc:Fallback>
          <w:pict>
            <v:rect fillcolor="#FFFFFF" style="position:absolute;rotation:-0;width:12.05pt;height:13.95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15</w:t>
                    </w:r>
                    <w:r>
                      <w:rPr>
                        <w:rStyle w:val="PageNumber"/>
                        <w:sz w:val="24"/>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0"/>
      <w:numFmt w:val="lowerLetter"/>
      <w:lvlText w:val="(%1)"/>
      <w:lvlJc w:val="start"/>
      <w:pPr>
        <w:tabs>
          <w:tab w:val="num" w:pos="2160"/>
        </w:tabs>
        <w:ind w:start="2160" w:hanging="720"/>
      </w:pPr>
      <w:rPr>
        <w:sz w:val="24"/>
      </w:rPr>
    </w:lvl>
  </w:abstractNum>
  <w:abstractNum w:abstractNumId="3">
    <w:lvl w:ilvl="0">
      <w:start w:val="1"/>
      <w:numFmt w:val="decimal"/>
      <w:lvlText w:val="(%1)"/>
      <w:lvlJc w:val="start"/>
      <w:pPr>
        <w:tabs>
          <w:tab w:val="num" w:pos="2880"/>
        </w:tabs>
        <w:ind w:start="2880" w:hanging="720"/>
      </w:pPr>
      <w:rPr/>
    </w:lvl>
  </w:abstractNum>
  <w:abstractNum w:abstractNumId="4">
    <w:lvl w:ilvl="0">
      <w:start w:val="2"/>
      <w:numFmt w:val="lowerLetter"/>
      <w:lvlText w:val="(%1)"/>
      <w:lvlJc w:val="start"/>
      <w:pPr>
        <w:tabs>
          <w:tab w:val="num" w:pos="1890"/>
        </w:tabs>
        <w:ind w:start="1890" w:hanging="450"/>
      </w:pPr>
      <w:rPr/>
    </w:lvl>
  </w:abstractNum>
  <w:abstractNum w:abstractNumId="5">
    <w:lvl w:ilvl="0">
      <w:start w:val="1"/>
      <w:numFmt w:val="lowerLetter"/>
      <w:lvlText w:val="(%1) "/>
      <w:lvlJc w:val="start"/>
      <w:pPr>
        <w:tabs>
          <w:tab w:val="num" w:pos="360"/>
        </w:tabs>
        <w:ind w:start="1800" w:hanging="360"/>
      </w:pPr>
      <w:rPr>
        <w:sz w:val="24"/>
        <w:szCs w:val="24"/>
      </w:rPr>
    </w:lvl>
  </w:abstractNum>
  <w:abstractNum w:abstractNumId="6">
    <w:lvl w:ilvl="0">
      <w:start w:val="6"/>
      <w:numFmt w:val="lowerRoman"/>
      <w:lvlText w:val="(%1)"/>
      <w:lvlJc w:val="start"/>
      <w:pPr>
        <w:tabs>
          <w:tab w:val="num" w:pos="1440"/>
        </w:tabs>
        <w:ind w:start="1440" w:hanging="720"/>
      </w:pPr>
      <w:rPr/>
    </w:lvl>
  </w:abstractNum>
  <w:abstractNum w:abstractNumId="7">
    <w:lvl w:ilvl="0">
      <w:start w:val="1"/>
      <w:numFmt w:val="decimal"/>
      <w:lvlText w:val="(%1) "/>
      <w:lvlJc w:val="start"/>
      <w:pPr>
        <w:tabs>
          <w:tab w:val="num" w:pos="360"/>
        </w:tabs>
        <w:ind w:start="2520" w:hanging="360"/>
      </w:pPr>
      <w:rPr>
        <w:sz w:val="24"/>
        <w:i w:val="false"/>
        <w:u w:val="none"/>
        <w:b w:val="false"/>
        <w:szCs w:val="24"/>
        <w:rFonts w:ascii="Times New Roman" w:hAnsi="Times New Roman" w:cs="Times New Roman"/>
      </w:rPr>
    </w:lvl>
  </w:abstractNum>
  <w:abstractNum w:abstractNumId="8">
    <w:lvl w:ilvl="0">
      <w:start w:val="1"/>
      <w:numFmt w:val="lowerRoman"/>
      <w:lvlText w:val="(%1)"/>
      <w:lvlJc w:val="start"/>
      <w:pPr>
        <w:tabs>
          <w:tab w:val="num" w:pos="2880"/>
        </w:tabs>
        <w:ind w:start="288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jc w:val="both"/>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tabs>
        <w:tab w:val="left" w:pos="720" w:leader="none"/>
      </w:tabs>
      <w:spacing w:before="0" w:after="240"/>
      <w:ind w:hanging="720" w:start="720" w:end="0"/>
      <w:outlineLvl w:val="0"/>
    </w:pPr>
    <w:rPr>
      <w:kern w:val="2"/>
    </w:rPr>
  </w:style>
  <w:style w:type="paragraph" w:styleId="Heading2">
    <w:name w:val="heading 2"/>
    <w:basedOn w:val="Normal"/>
    <w:next w:val="Normal"/>
    <w:qFormat/>
    <w:pPr>
      <w:numPr>
        <w:ilvl w:val="1"/>
        <w:numId w:val="1"/>
      </w:numPr>
      <w:tabs>
        <w:tab w:val="clear" w:pos="720"/>
        <w:tab w:val="left" w:pos="1440" w:leader="none"/>
      </w:tabs>
      <w:spacing w:before="0" w:after="240"/>
      <w:ind w:hanging="720" w:start="1440" w:end="0"/>
      <w:outlineLvl w:val="1"/>
    </w:pPr>
    <w:rPr/>
  </w:style>
  <w:style w:type="paragraph" w:styleId="Heading3">
    <w:name w:val="heading 3"/>
    <w:basedOn w:val="Normal"/>
    <w:next w:val="Normal"/>
    <w:qFormat/>
    <w:pPr>
      <w:numPr>
        <w:ilvl w:val="2"/>
        <w:numId w:val="1"/>
      </w:numPr>
      <w:tabs>
        <w:tab w:val="clear" w:pos="720"/>
        <w:tab w:val="left" w:pos="2160" w:leader="none"/>
      </w:tabs>
      <w:spacing w:before="0" w:after="240"/>
      <w:ind w:hanging="720" w:start="2160" w:end="0"/>
      <w:outlineLvl w:val="2"/>
    </w:pPr>
    <w:rPr/>
  </w:style>
  <w:style w:type="paragraph" w:styleId="Heading4">
    <w:name w:val="heading 4"/>
    <w:basedOn w:val="Normal"/>
    <w:next w:val="Normal"/>
    <w:qFormat/>
    <w:pPr>
      <w:numPr>
        <w:ilvl w:val="3"/>
        <w:numId w:val="1"/>
      </w:numPr>
      <w:tabs>
        <w:tab w:val="clear" w:pos="720"/>
        <w:tab w:val="left" w:pos="2880" w:leader="none"/>
      </w:tabs>
      <w:spacing w:before="0" w:after="240"/>
      <w:ind w:hanging="720" w:start="2880" w:end="0"/>
      <w:outlineLvl w:val="3"/>
    </w:pPr>
    <w:rPr/>
  </w:style>
  <w:style w:type="paragraph" w:styleId="Heading5">
    <w:name w:val="heading 5"/>
    <w:basedOn w:val="Normal"/>
    <w:next w:val="Normal"/>
    <w:qFormat/>
    <w:pPr>
      <w:numPr>
        <w:ilvl w:val="4"/>
        <w:numId w:val="1"/>
      </w:numPr>
      <w:tabs>
        <w:tab w:val="clear" w:pos="720"/>
        <w:tab w:val="left" w:pos="3600" w:leader="none"/>
      </w:tabs>
      <w:spacing w:before="0" w:after="240"/>
      <w:ind w:hanging="720" w:start="3600" w:end="0"/>
      <w:outlineLvl w:val="4"/>
    </w:pPr>
    <w:rPr/>
  </w:style>
  <w:style w:type="paragraph" w:styleId="Heading6">
    <w:name w:val="heading 6"/>
    <w:basedOn w:val="Normal"/>
    <w:next w:val="Normal"/>
    <w:qFormat/>
    <w:pPr>
      <w:numPr>
        <w:ilvl w:val="5"/>
        <w:numId w:val="1"/>
      </w:numPr>
      <w:spacing w:before="240" w:after="60"/>
      <w:outlineLvl w:val="5"/>
    </w:pPr>
    <w:rPr>
      <w:i/>
      <w:iCs/>
      <w:sz w:val="22"/>
      <w:szCs w:val="22"/>
    </w:rPr>
  </w:style>
  <w:style w:type="paragraph" w:styleId="Heading7">
    <w:name w:val="heading 7"/>
    <w:basedOn w:val="Normal"/>
    <w:next w:val="Normal"/>
    <w:qFormat/>
    <w:pPr>
      <w:numPr>
        <w:ilvl w:val="6"/>
        <w:numId w:val="1"/>
      </w:numPr>
      <w:spacing w:before="240" w:after="60"/>
      <w:outlineLvl w:val="6"/>
    </w:pPr>
    <w:rPr>
      <w:rFonts w:ascii="Arial" w:hAnsi="Arial" w:cs="Arial"/>
      <w:sz w:val="20"/>
      <w:szCs w:val="20"/>
    </w:rPr>
  </w:style>
  <w:style w:type="paragraph" w:styleId="Heading8">
    <w:name w:val="heading 8"/>
    <w:basedOn w:val="Normal"/>
    <w:next w:val="Normal"/>
    <w:qFormat/>
    <w:pPr>
      <w:numPr>
        <w:ilvl w:val="7"/>
        <w:numId w:val="1"/>
      </w:numPr>
      <w:spacing w:before="240" w:after="60"/>
      <w:outlineLvl w:val="7"/>
    </w:pPr>
    <w:rPr>
      <w:rFonts w:ascii="Arial" w:hAnsi="Arial" w:cs="Arial"/>
      <w:i/>
      <w:iCs/>
      <w:sz w:val="20"/>
      <w:szCs w:val="20"/>
    </w:rPr>
  </w:style>
  <w:style w:type="paragraph" w:styleId="Heading9">
    <w:name w:val="heading 9"/>
    <w:basedOn w:val="Normal"/>
    <w:next w:val="Normal"/>
    <w:qFormat/>
    <w:pPr>
      <w:numPr>
        <w:ilvl w:val="8"/>
        <w:numId w:val="1"/>
      </w:numPr>
      <w:spacing w:before="240" w:after="60"/>
      <w:outlineLvl w:val="8"/>
    </w:pPr>
    <w:rPr>
      <w:rFonts w:ascii="Arial" w:hAnsi="Arial" w:cs="Arial"/>
      <w:b/>
      <w:bCs/>
      <w:i/>
      <w:iCs/>
      <w:sz w:val="18"/>
      <w:szCs w:val="18"/>
    </w:rPr>
  </w:style>
  <w:style w:type="character" w:styleId="WW8Num1z0">
    <w:name w:val="WW8Num1z0"/>
    <w:qFormat/>
    <w:rPr>
      <w:sz w:val="24"/>
    </w:rPr>
  </w:style>
  <w:style w:type="character" w:styleId="WW8Num2z0">
    <w:name w:val="WW8Num2z0"/>
    <w:qFormat/>
    <w:rPr/>
  </w:style>
  <w:style w:type="character" w:styleId="WW8Num3z0">
    <w:name w:val="WW8Num3z0"/>
    <w:qFormat/>
    <w:rPr/>
  </w:style>
  <w:style w:type="character" w:styleId="WW8Num4z0">
    <w:name w:val="WW8Num4z0"/>
    <w:qFormat/>
    <w:rPr>
      <w:sz w:val="24"/>
      <w:szCs w:val="24"/>
    </w:rPr>
  </w:style>
  <w:style w:type="character" w:styleId="WW8Num5z0">
    <w:name w:val="WW8Num5z0"/>
    <w:qFormat/>
    <w:rPr/>
  </w:style>
  <w:style w:type="character" w:styleId="WW8Num6z0">
    <w:name w:val="WW8Num6z0"/>
    <w:qFormat/>
    <w:rPr>
      <w:rFonts w:ascii="Times New Roman" w:hAnsi="Times New Roman" w:cs="Times New Roman"/>
      <w:b w:val="false"/>
      <w:i w:val="false"/>
      <w:sz w:val="24"/>
      <w:szCs w:val="24"/>
      <w:u w:val="none"/>
    </w:rPr>
  </w:style>
  <w:style w:type="character" w:styleId="WW8Num7z0">
    <w:name w:val="WW8Num7z0"/>
    <w:qFormat/>
    <w:rPr/>
  </w:style>
  <w:style w:type="character" w:styleId="WW8NumSt3z0">
    <w:name w:val="WW8NumSt3z0"/>
    <w:qFormat/>
    <w:rPr>
      <w:sz w:val="24"/>
      <w:szCs w:val="24"/>
    </w:rPr>
  </w:style>
  <w:style w:type="character" w:styleId="DefaultParagraphFont">
    <w:name w:val="Default Paragraph Font"/>
    <w:qFormat/>
    <w:rPr/>
  </w:style>
  <w:style w:type="character" w:styleId="DOCSFooter">
    <w:name w:val="DOCSFooter"/>
    <w:basedOn w:val="DefaultParagraphFont"/>
    <w:qFormat/>
    <w:rPr>
      <w:rFonts w:ascii="Arial" w:hAnsi="Arial" w:cs="Arial"/>
      <w:sz w:val="14"/>
      <w:szCs w:val="14"/>
    </w:rPr>
  </w:style>
  <w:style w:type="character" w:styleId="HidefromTOC">
    <w:name w:val="Hide from TOC"/>
    <w:basedOn w:val="DefaultParagraphFont"/>
    <w:qFormat/>
    <w:rPr>
      <w:sz w:val="20"/>
      <w:szCs w:val="20"/>
    </w:rPr>
  </w:style>
  <w:style w:type="character" w:styleId="outtext">
    <w:name w:val="outtext"/>
    <w:basedOn w:val="DefaultParagraphFont"/>
    <w:qFormat/>
    <w:rPr>
      <w:color w:val="000000"/>
      <w:sz w:val="20"/>
      <w:szCs w:val="20"/>
    </w:rPr>
  </w:style>
  <w:style w:type="character" w:styleId="outtexthidden">
    <w:name w:val="outtexthidden"/>
    <w:basedOn w:val="outtext"/>
    <w:qFormat/>
    <w:rPr>
      <w:vanish/>
    </w:rPr>
  </w:style>
  <w:style w:type="character" w:styleId="CommentReference">
    <w:name w:val="Comment Reference"/>
    <w:basedOn w:val="DefaultParagraphFont"/>
    <w:qFormat/>
    <w:rPr>
      <w:sz w:val="16"/>
      <w:szCs w:val="16"/>
    </w:rPr>
  </w:style>
  <w:style w:type="character" w:styleId="PageNumber">
    <w:name w:val="page number"/>
    <w:basedOn w:val="DefaultParagraphFont"/>
    <w:rPr>
      <w:sz w:val="20"/>
      <w:szCs w:val="20"/>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jc w:val="center"/>
    </w:pPr>
    <w:rPr>
      <w:b/>
      <w:bCs/>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Header">
    <w:name w:val="header"/>
    <w:basedOn w:val="Normal"/>
    <w:pPr>
      <w:tabs>
        <w:tab w:val="clear" w:pos="720"/>
        <w:tab w:val="center" w:pos="4680" w:leader="none"/>
        <w:tab w:val="right" w:pos="9360" w:leader="none"/>
      </w:tabs>
    </w:pPr>
    <w:rPr/>
  </w:style>
  <w:style w:type="paragraph" w:styleId="BodyTextIndent">
    <w:name w:val="Body Text Indent"/>
    <w:basedOn w:val="Normal"/>
    <w:pPr>
      <w:tabs>
        <w:tab w:val="left" w:pos="720" w:leader="none"/>
      </w:tabs>
      <w:ind w:hanging="0" w:start="720" w:end="0"/>
    </w:pPr>
    <w:rPr>
      <w:rFonts w:ascii="Arial" w:hAnsi="Arial" w:cs="Arial"/>
      <w:sz w:val="20"/>
      <w:szCs w:val="20"/>
    </w:rPr>
  </w:style>
  <w:style w:type="paragraph" w:styleId="1TAB">
    <w:name w:val="1 TAB"/>
    <w:basedOn w:val="Normal"/>
    <w:qFormat/>
    <w:pPr>
      <w:spacing w:before="0" w:after="240"/>
      <w:ind w:firstLine="720" w:start="0" w:end="0"/>
    </w:pPr>
    <w:rPr/>
  </w:style>
  <w:style w:type="paragraph" w:styleId="BodyTextIndent2">
    <w:name w:val="Body Text Indent 2"/>
    <w:basedOn w:val="Normal"/>
    <w:qFormat/>
    <w:pPr>
      <w:tabs>
        <w:tab w:val="clear" w:pos="720"/>
        <w:tab w:val="left" w:pos="2070" w:leader="none"/>
      </w:tabs>
      <w:ind w:hanging="630" w:start="2070" w:end="0"/>
    </w:pPr>
    <w:rPr/>
  </w:style>
  <w:style w:type="paragraph" w:styleId="BodyTextIndent3">
    <w:name w:val="Body Text Indent 3"/>
    <w:basedOn w:val="Normal"/>
    <w:qFormat/>
    <w:pPr>
      <w:ind w:hanging="540" w:start="2340" w:end="0"/>
      <w:jc w:val="start"/>
    </w:pPr>
    <w:rPr/>
  </w:style>
  <w:style w:type="paragraph" w:styleId="CommentText">
    <w:name w:val="Comment Text"/>
    <w:basedOn w:val="Normal"/>
    <w:qFormat/>
    <w:pPr/>
    <w:rPr>
      <w:sz w:val="20"/>
      <w:szCs w:val="20"/>
    </w:rPr>
  </w:style>
  <w:style w:type="paragraph" w:styleId="DocumentMap">
    <w:name w:val="Document Map"/>
    <w:basedOn w:val="Normal"/>
    <w:qFormat/>
    <w:pPr>
      <w:shd w:fill="000080" w:val="clear"/>
    </w:pPr>
    <w:rPr>
      <w:rFonts w:ascii="Tahoma" w:hAnsi="Tahoma" w:cs="Tahoma"/>
    </w:rPr>
  </w:style>
  <w:style w:type="paragraph" w:styleId="BodyText21">
    <w:name w:val="Body Text 21"/>
    <w:basedOn w:val="Normal"/>
    <w:qFormat/>
    <w:pPr>
      <w:tabs>
        <w:tab w:val="left" w:pos="720" w:leader="none"/>
      </w:tabs>
      <w:ind w:hanging="0" w:start="720" w:end="0"/>
    </w:pPr>
    <w:rPr>
      <w:rFonts w:ascii="Arial" w:hAnsi="Arial" w:cs="Arial"/>
      <w:sz w:val="20"/>
      <w:szCs w:val="20"/>
    </w:rPr>
  </w:style>
  <w:style w:type="paragraph" w:styleId="BodyTextFirstIndent">
    <w:name w:val="Body Text First Indent"/>
    <w:basedOn w:val="BodyText"/>
    <w:qFormat/>
    <w:pPr>
      <w:ind w:firstLine="210" w:start="0" w:end="0"/>
    </w:pPr>
    <w:rPr/>
  </w:style>
  <w:style w:type="paragraph" w:styleId="EndnoteText">
    <w:name w:val="endnote text"/>
    <w:basedOn w:val="BodyTextFirstIndent"/>
    <w:pPr>
      <w:ind w:hanging="0" w:start="0" w:end="0"/>
      <w:jc w:val="start"/>
    </w:pPr>
    <w:rPr>
      <w:sz w:val="20"/>
      <w:szCs w:val="20"/>
    </w:rPr>
  </w:style>
  <w:style w:type="paragraph" w:styleId="NormalIndent">
    <w:name w:val="Normal Indent"/>
    <w:basedOn w:val="Normal"/>
    <w:qFormat/>
    <w:pPr>
      <w:spacing w:before="0" w:after="240"/>
      <w:ind w:hanging="0" w:start="1440" w:end="720"/>
      <w:jc w:val="start"/>
    </w:pPr>
    <w:rPr/>
  </w:style>
  <w:style w:type="paragraph" w:styleId="BodyText3">
    <w:name w:val="Body Text 3"/>
    <w:basedOn w:val="Normal"/>
    <w:qFormat/>
    <w:pPr>
      <w:tabs>
        <w:tab w:val="left" w:pos="720" w:leader="none"/>
        <w:tab w:val="left" w:pos="2160" w:leader="none"/>
      </w:tabs>
      <w:jc w:val="start"/>
    </w:pPr>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Continue2">
    <w:name w:val="List Continue 2"/>
    <w:basedOn w:val="Normal"/>
    <w:qFormat/>
    <w:pPr>
      <w:spacing w:before="0" w:after="120"/>
      <w:ind w:hanging="0" w:start="720" w:end="0"/>
    </w:pPr>
    <w:rPr/>
  </w:style>
  <w:style w:type="paragraph" w:styleId="Byline">
    <w:name w:val="Byline"/>
    <w:basedOn w:val="BodyText"/>
    <w:qFormat/>
    <w:pPr/>
    <w:rPr/>
  </w:style>
  <w:style w:type="paragraph" w:styleId="ShortReturnAddress">
    <w:name w:val="Short Return Address"/>
    <w:basedOn w:val="Normal"/>
    <w:qFormat/>
    <w:pPr/>
    <w:rPr/>
  </w:style>
  <w:style w:type="paragraph" w:styleId="FootnoteText">
    <w:name w:val="footnote text"/>
    <w:basedOn w:val="Normal"/>
    <w:pPr/>
    <w:rPr>
      <w:sz w:val="20"/>
      <w:szCs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2001-09-24T11:48:00Z</dcterms:created>
  <dc:creator>UtiliCorp United</dc:creator>
  <dc:description/>
  <dc:language>en-CA</dc:language>
  <cp:lastModifiedBy>KDDavis</cp:lastModifiedBy>
  <cp:lastPrinted>2001-09-05T10:26:00Z</cp:lastPrinted>
  <dcterms:modified xsi:type="dcterms:W3CDTF">2001-09-24T13:12:00Z</dcterms:modified>
  <cp:revision>3</cp:revision>
  <dc:subject>Version 2.0 Build 0203</dc:subject>
  <dc:title>ANNEX 5</dc:title>
</cp:coreProperties>
</file>