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Date: October 5, 2001</w:t>
      </w:r>
    </w:p>
    <w:p>
      <w:pPr>
        <w:pStyle w:val="Normal"/>
        <w:rPr>
          <w:sz w:val="24"/>
        </w:rPr>
      </w:pPr>
      <w:r>
        <w:rPr>
          <w:sz w:val="24"/>
        </w:rPr>
        <w:t>Via electronic mail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Jason Williams</w:t>
      </w:r>
    </w:p>
    <w:p>
      <w:pPr>
        <w:pStyle w:val="Normal"/>
        <w:rPr>
          <w:sz w:val="24"/>
        </w:rPr>
      </w:pPr>
      <w:r>
        <w:rPr>
          <w:sz w:val="24"/>
        </w:rPr>
        <w:t>Enron</w:t>
      </w:r>
    </w:p>
    <w:p>
      <w:pPr>
        <w:pStyle w:val="Normal"/>
        <w:rPr/>
      </w:pPr>
      <w:hyperlink r:id="rId2">
        <w:r>
          <w:rPr>
            <w:rStyle w:val="Hyperlink"/>
          </w:rPr>
          <w:t>Jason.williams@enron.com</w:t>
        </w:r>
      </w:hyperlink>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Re:</w:t>
        <w:tab/>
        <w:t>Request for winter supply proposals</w:t>
      </w:r>
    </w:p>
    <w:p>
      <w:pPr>
        <w:pStyle w:val="Normal"/>
        <w:rPr>
          <w:sz w:val="24"/>
        </w:rPr>
      </w:pPr>
      <w:r>
        <w:rPr>
          <w:sz w:val="24"/>
        </w:rPr>
      </w:r>
    </w:p>
    <w:p>
      <w:pPr>
        <w:pStyle w:val="Normal"/>
        <w:rPr>
          <w:sz w:val="24"/>
        </w:rPr>
      </w:pPr>
      <w:r>
        <w:rPr>
          <w:sz w:val="24"/>
        </w:rPr>
      </w:r>
    </w:p>
    <w:p>
      <w:pPr>
        <w:pStyle w:val="Normal"/>
        <w:rPr>
          <w:sz w:val="24"/>
        </w:rPr>
      </w:pPr>
      <w:r>
        <w:rPr>
          <w:sz w:val="24"/>
        </w:rPr>
        <w:t>Dear Mr. Williams:</w:t>
      </w:r>
    </w:p>
    <w:p>
      <w:pPr>
        <w:pStyle w:val="Normal"/>
        <w:rPr>
          <w:sz w:val="24"/>
        </w:rPr>
      </w:pPr>
      <w:r>
        <w:rPr>
          <w:sz w:val="24"/>
        </w:rPr>
      </w:r>
    </w:p>
    <w:p>
      <w:pPr>
        <w:pStyle w:val="Normal"/>
        <w:rPr>
          <w:sz w:val="24"/>
        </w:rPr>
      </w:pPr>
      <w:r>
        <w:rPr>
          <w:sz w:val="24"/>
        </w:rPr>
        <w:t>Peoples Gas and North Shore Gas are requesting proposals from qualified parties to provide firm winter supply to the utility.  Specific terms regarding the nature of the desired products are attached.  You may submit a response for any or all of the options listed.  If you have any questions you may contact me at 312-762-1647, or Antje Akkerman at 312-762-1649.</w:t>
      </w:r>
    </w:p>
    <w:p>
      <w:pPr>
        <w:pStyle w:val="Normal"/>
        <w:rPr>
          <w:sz w:val="24"/>
        </w:rPr>
      </w:pPr>
      <w:r>
        <w:rPr>
          <w:sz w:val="24"/>
        </w:rPr>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David E. Wear</w:t>
      </w:r>
    </w:p>
    <w:p>
      <w:pPr>
        <w:pStyle w:val="Normal"/>
        <w:rPr>
          <w:sz w:val="24"/>
        </w:rPr>
      </w:pPr>
      <w:r>
        <w:rPr>
          <w:sz w:val="24"/>
        </w:rPr>
        <w:t>Mgr., Gas Supply Administration</w:t>
      </w:r>
    </w:p>
    <w:p>
      <w:pPr>
        <w:pStyle w:val="Normal"/>
        <w:rPr>
          <w:sz w:val="24"/>
        </w:rPr>
      </w:pPr>
      <w:r>
        <w:rPr>
          <w:sz w:val="24"/>
        </w:rPr>
        <w:t>Peoples Energy Corporation</w:t>
      </w:r>
    </w:p>
    <w:p>
      <w:pPr>
        <w:pStyle w:val="Normal"/>
        <w:rPr>
          <w:sz w:val="24"/>
        </w:rPr>
      </w:pPr>
      <w:r>
        <w:rPr>
          <w:sz w:val="24"/>
        </w:rPr>
        <w:t>150 N. Michigan Ave,</w:t>
      </w:r>
    </w:p>
    <w:p>
      <w:pPr>
        <w:pStyle w:val="Normal"/>
        <w:rPr>
          <w:sz w:val="24"/>
        </w:rPr>
      </w:pPr>
      <w:r>
        <w:rPr>
          <w:sz w:val="24"/>
        </w:rPr>
        <w:t>Suite 3900</w:t>
      </w:r>
    </w:p>
    <w:p>
      <w:pPr>
        <w:pStyle w:val="Normal"/>
        <w:rPr>
          <w:sz w:val="24"/>
        </w:rPr>
      </w:pPr>
      <w:r>
        <w:rPr>
          <w:sz w:val="24"/>
        </w:rPr>
      </w:r>
    </w:p>
    <w:p>
      <w:pPr>
        <w:pStyle w:val="Normal"/>
        <w:rPr>
          <w:sz w:val="24"/>
        </w:rPr>
      </w:pPr>
      <w:r>
        <w:rPr>
          <w:sz w:val="24"/>
        </w:rPr>
        <w:t xml:space="preserve">e-mail:  </w:t>
      </w:r>
      <w:hyperlink r:id="rId3">
        <w:r>
          <w:rPr>
            <w:rStyle w:val="Hyperlink"/>
          </w:rPr>
          <w:t>d.wear@pecorp.com</w:t>
        </w:r>
      </w:hyperlink>
    </w:p>
    <w:p>
      <w:pPr>
        <w:pStyle w:val="Normal"/>
        <w:rPr>
          <w:sz w:val="24"/>
        </w:rPr>
      </w:pPr>
      <w:r>
        <w:rPr>
          <w:sz w:val="24"/>
        </w:rPr>
      </w:r>
      <w:r>
        <w:br w:type="page"/>
      </w:r>
    </w:p>
    <w:p>
      <w:pPr>
        <w:pStyle w:val="Normal"/>
        <w:rPr>
          <w:sz w:val="24"/>
        </w:rPr>
      </w:pPr>
      <w:r>
        <w:rPr>
          <w:sz w:val="24"/>
        </w:rPr>
        <w:t>Peoples Gas Light and Coke Company</w:t>
      </w:r>
    </w:p>
    <w:p>
      <w:pPr>
        <w:pStyle w:val="Normal"/>
        <w:rPr>
          <w:sz w:val="24"/>
        </w:rPr>
      </w:pPr>
      <w:r>
        <w:rPr>
          <w:sz w:val="24"/>
        </w:rPr>
      </w:r>
    </w:p>
    <w:p>
      <w:pPr>
        <w:pStyle w:val="Normal"/>
        <w:rPr>
          <w:sz w:val="24"/>
        </w:rPr>
      </w:pPr>
      <w:r>
        <w:rPr>
          <w:sz w:val="24"/>
        </w:rPr>
        <w:t>Product A.</w:t>
        <w:tab/>
        <w:t>Firm Citygate Supply</w:t>
      </w:r>
    </w:p>
    <w:p>
      <w:pPr>
        <w:pStyle w:val="Normal"/>
        <w:rPr>
          <w:sz w:val="24"/>
        </w:rPr>
      </w:pPr>
      <w:r>
        <w:rPr>
          <w:sz w:val="24"/>
        </w:rPr>
        <w:t>Offers are due by 1:00 p.m. Central Time on October 29, 2001.</w:t>
      </w:r>
    </w:p>
    <w:p>
      <w:pPr>
        <w:pStyle w:val="Normal"/>
        <w:rPr>
          <w:sz w:val="24"/>
        </w:rPr>
      </w:pPr>
      <w:r>
        <w:rPr>
          <w:sz w:val="24"/>
        </w:rPr>
        <w:t>If offer is accepted, PGL will respond by 3:30 p.m. Central Time on October 29,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Option 1</w:t>
      </w:r>
    </w:p>
    <w:p>
      <w:pPr>
        <w:pStyle w:val="Normal"/>
        <w:rPr>
          <w:sz w:val="24"/>
        </w:rPr>
      </w:pPr>
      <w:r>
        <w:rPr>
          <w:sz w:val="24"/>
        </w:rPr>
        <w:t>December 1, 2001 through January 31, 2002</w:t>
      </w:r>
    </w:p>
    <w:p>
      <w:pPr>
        <w:pStyle w:val="Normal"/>
        <w:rPr>
          <w:sz w:val="24"/>
        </w:rPr>
      </w:pPr>
      <w:r>
        <w:rPr>
          <w:sz w:val="24"/>
        </w:rPr>
        <w:t>10-day $3.00 Fixed Price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None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Option 2</w:t>
      </w:r>
    </w:p>
    <w:p>
      <w:pPr>
        <w:pStyle w:val="Normal"/>
        <w:rPr>
          <w:sz w:val="24"/>
        </w:rPr>
      </w:pPr>
      <w:r>
        <w:rPr>
          <w:sz w:val="24"/>
        </w:rPr>
        <w:t>December 1, 2001 through January 31, 2002</w:t>
      </w:r>
    </w:p>
    <w:p>
      <w:pPr>
        <w:pStyle w:val="Normal"/>
        <w:rPr>
          <w:sz w:val="24"/>
        </w:rPr>
      </w:pPr>
      <w:r>
        <w:rPr>
          <w:sz w:val="24"/>
        </w:rPr>
        <w:t>Everyday (62-day) FOM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None</w:t>
      </w:r>
    </w:p>
    <w:p>
      <w:pPr>
        <w:pStyle w:val="Normal"/>
        <w:rPr>
          <w:sz w:val="24"/>
        </w:rPr>
      </w:pPr>
      <w:r>
        <w:rPr>
          <w:sz w:val="24"/>
        </w:rPr>
      </w:r>
    </w:p>
    <w:p>
      <w:pPr>
        <w:pStyle w:val="Normal"/>
        <w:rPr>
          <w:sz w:val="24"/>
        </w:rPr>
      </w:pPr>
      <w:r>
        <w:rPr>
          <w:sz w:val="24"/>
        </w:rPr>
      </w:r>
    </w:p>
    <w:p>
      <w:pPr>
        <w:pStyle w:val="Normal"/>
        <w:rPr>
          <w:sz w:val="24"/>
        </w:rPr>
      </w:pPr>
      <w:r>
        <w:rPr>
          <w:sz w:val="24"/>
        </w:rPr>
        <w:t>Option 3</w:t>
      </w:r>
    </w:p>
    <w:p>
      <w:pPr>
        <w:pStyle w:val="Normal"/>
        <w:rPr>
          <w:sz w:val="24"/>
        </w:rPr>
      </w:pPr>
      <w:r>
        <w:rPr>
          <w:sz w:val="24"/>
        </w:rPr>
        <w:t>December 1, 2001 through January 31, 2002</w:t>
      </w:r>
    </w:p>
    <w:p>
      <w:pPr>
        <w:pStyle w:val="Normal"/>
        <w:rPr>
          <w:sz w:val="24"/>
        </w:rPr>
      </w:pPr>
      <w:r>
        <w:rPr>
          <w:sz w:val="24"/>
        </w:rPr>
        <w:t>At the money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None</w:t>
      </w:r>
    </w:p>
    <w:p>
      <w:pPr>
        <w:pStyle w:val="Normal"/>
        <w:rPr>
          <w:sz w:val="24"/>
        </w:rPr>
      </w:pPr>
      <w:r>
        <w:rPr>
          <w:sz w:val="24"/>
        </w:rPr>
      </w:r>
      <w:r>
        <w:br w:type="page"/>
      </w:r>
    </w:p>
    <w:p>
      <w:pPr>
        <w:pStyle w:val="Heading1"/>
        <w:ind w:hanging="0" w:start="0"/>
        <w:rPr/>
      </w:pPr>
      <w:r>
        <w:rPr/>
        <w:t>The Peoples Gas Light and Coke Company</w:t>
      </w:r>
    </w:p>
    <w:p>
      <w:pPr>
        <w:pStyle w:val="Heading1"/>
        <w:ind w:hanging="0" w:start="0"/>
        <w:rPr/>
      </w:pPr>
      <w:r>
        <w:rPr/>
      </w:r>
    </w:p>
    <w:p>
      <w:pPr>
        <w:pStyle w:val="Heading1"/>
        <w:ind w:hanging="0" w:start="0"/>
        <w:rPr/>
      </w:pPr>
      <w:r>
        <w:rPr/>
        <w:t>Product B.</w:t>
        <w:tab/>
        <w:t>Flexible Firm Field Supply</w:t>
      </w:r>
    </w:p>
    <w:p>
      <w:pPr>
        <w:pStyle w:val="Normal"/>
        <w:rPr>
          <w:sz w:val="24"/>
        </w:rPr>
      </w:pPr>
      <w:r>
        <w:rPr>
          <w:sz w:val="24"/>
        </w:rPr>
        <w:t>Initial proposals are due by 1:00 p.m. Central Time on October 15, 2001.</w:t>
      </w:r>
    </w:p>
    <w:p>
      <w:pPr>
        <w:pStyle w:val="Normal"/>
        <w:rPr>
          <w:sz w:val="24"/>
        </w:rPr>
      </w:pPr>
      <w:r>
        <w:rPr>
          <w:sz w:val="24"/>
        </w:rPr>
        <w:t>Upon review of proposals, PGL will initiate negotiations towards the goal of successful execution of a written agreement for the proposed transaction.</w:t>
      </w:r>
    </w:p>
    <w:p>
      <w:pPr>
        <w:pStyle w:val="Normal"/>
        <w:rPr>
          <w:sz w:val="24"/>
        </w:rPr>
      </w:pPr>
      <w:r>
        <w:rPr>
          <w:sz w:val="24"/>
        </w:rPr>
      </w:r>
    </w:p>
    <w:p>
      <w:pPr>
        <w:pStyle w:val="Normal"/>
        <w:rPr>
          <w:sz w:val="24"/>
        </w:rPr>
      </w:pPr>
      <w:r>
        <w:rPr>
          <w:sz w:val="24"/>
        </w:rPr>
      </w:r>
    </w:p>
    <w:p>
      <w:pPr>
        <w:pStyle w:val="Normal"/>
        <w:rPr>
          <w:sz w:val="24"/>
        </w:rPr>
      </w:pPr>
      <w:r>
        <w:rPr>
          <w:sz w:val="24"/>
        </w:rPr>
        <w:t>Term:  November 1, 2001 through March 31, 2002, and October 1, 2002 through March 31, 2003</w:t>
      </w:r>
    </w:p>
    <w:p>
      <w:pPr>
        <w:pStyle w:val="Normal"/>
        <w:rPr>
          <w:sz w:val="24"/>
        </w:rPr>
      </w:pPr>
      <w:r>
        <w:rPr>
          <w:sz w:val="24"/>
        </w:rPr>
      </w:r>
    </w:p>
    <w:p>
      <w:pPr>
        <w:pStyle w:val="Normal"/>
        <w:rPr>
          <w:sz w:val="24"/>
        </w:rPr>
      </w:pPr>
      <w:r>
        <w:rPr>
          <w:sz w:val="24"/>
        </w:rPr>
        <w:t>Primary Delivery Point</w:t>
        <w:tab/>
        <w:t>Trunkline East LA Field Zone, or Trunkline West LA Field Zone</w:t>
      </w:r>
    </w:p>
    <w:p>
      <w:pPr>
        <w:pStyle w:val="Normal"/>
        <w:rPr>
          <w:sz w:val="24"/>
        </w:rPr>
      </w:pPr>
      <w:r>
        <w:rPr>
          <w:sz w:val="24"/>
        </w:rPr>
      </w:r>
    </w:p>
    <w:p>
      <w:pPr>
        <w:pStyle w:val="Normal"/>
        <w:rPr>
          <w:sz w:val="24"/>
        </w:rPr>
      </w:pPr>
      <w:r>
        <w:rPr>
          <w:sz w:val="24"/>
        </w:rPr>
        <w:t>MDQ:</w:t>
        <w:tab/>
        <w:tab/>
        <w:tab/>
        <w:tab/>
        <w:t>up to 50,000 MMBtu/d</w:t>
      </w:r>
    </w:p>
    <w:p>
      <w:pPr>
        <w:pStyle w:val="Normal"/>
        <w:rPr>
          <w:sz w:val="24"/>
        </w:rPr>
      </w:pPr>
      <w:r>
        <w:rPr>
          <w:sz w:val="24"/>
        </w:rPr>
      </w:r>
    </w:p>
    <w:p>
      <w:pPr>
        <w:pStyle w:val="Normal"/>
        <w:rPr>
          <w:sz w:val="24"/>
        </w:rPr>
      </w:pPr>
      <w:r>
        <w:rPr>
          <w:sz w:val="24"/>
        </w:rPr>
        <w:t>Swing Characteristics:</w:t>
        <w:tab/>
        <w:tab/>
        <w:t>0 to 100 % swing on day ahead nominated quantities.</w:t>
      </w:r>
    </w:p>
    <w:p>
      <w:pPr>
        <w:pStyle w:val="Normal"/>
        <w:rPr>
          <w:sz w:val="24"/>
        </w:rPr>
      </w:pPr>
      <w:r>
        <w:rPr>
          <w:sz w:val="24"/>
        </w:rPr>
      </w:r>
    </w:p>
    <w:p>
      <w:pPr>
        <w:pStyle w:val="Normal"/>
        <w:rPr>
          <w:sz w:val="24"/>
        </w:rPr>
      </w:pPr>
      <w:r>
        <w:rPr>
          <w:sz w:val="24"/>
        </w:rPr>
        <w:t>Additional Information:</w:t>
        <w:tab/>
        <w:t>PGL is seeking highly flexible supply which will be used in conjunction with its QNT Transportation on Trunkline Gas Company.  The ability to provide intraday and short notice nomination capabilities is highly desirable and proposals that provide such will be given special consideration.</w:t>
      </w:r>
    </w:p>
    <w:p>
      <w:pPr>
        <w:pStyle w:val="Normal"/>
        <w:rPr>
          <w:sz w:val="24"/>
        </w:rPr>
      </w:pPr>
      <w:r>
        <w:rPr>
          <w:sz w:val="24"/>
        </w:rPr>
      </w:r>
    </w:p>
    <w:p>
      <w:pPr>
        <w:pStyle w:val="Normal"/>
        <w:rPr>
          <w:sz w:val="24"/>
        </w:rPr>
      </w:pPr>
      <w:r>
        <w:rPr>
          <w:sz w:val="24"/>
        </w:rPr>
      </w:r>
      <w:r>
        <w:br w:type="page"/>
      </w:r>
    </w:p>
    <w:p>
      <w:pPr>
        <w:pStyle w:val="Normal"/>
        <w:rPr>
          <w:sz w:val="24"/>
        </w:rPr>
      </w:pPr>
      <w:r>
        <w:rPr>
          <w:sz w:val="24"/>
        </w:rPr>
        <w:t>North Shore Gas Company</w:t>
      </w:r>
    </w:p>
    <w:p>
      <w:pPr>
        <w:pStyle w:val="Normal"/>
        <w:rPr>
          <w:sz w:val="24"/>
        </w:rPr>
      </w:pPr>
      <w:r>
        <w:rPr>
          <w:sz w:val="24"/>
        </w:rPr>
      </w:r>
    </w:p>
    <w:p>
      <w:pPr>
        <w:pStyle w:val="Normal"/>
        <w:rPr>
          <w:sz w:val="24"/>
        </w:rPr>
      </w:pPr>
      <w:r>
        <w:rPr>
          <w:sz w:val="24"/>
        </w:rPr>
        <w:t>Product A.</w:t>
        <w:tab/>
        <w:t>Firm Citygate Supply</w:t>
      </w:r>
    </w:p>
    <w:p>
      <w:pPr>
        <w:pStyle w:val="Normal"/>
        <w:rPr>
          <w:sz w:val="24"/>
        </w:rPr>
      </w:pPr>
      <w:r>
        <w:rPr>
          <w:sz w:val="24"/>
        </w:rPr>
        <w:t>Offers are due by 1:00 p.m. Central Time on October 29, 2001.</w:t>
      </w:r>
    </w:p>
    <w:p>
      <w:pPr>
        <w:pStyle w:val="Normal"/>
        <w:rPr>
          <w:sz w:val="24"/>
        </w:rPr>
      </w:pPr>
      <w:r>
        <w:rPr>
          <w:sz w:val="24"/>
        </w:rPr>
        <w:t>If offer is accepted, North Shore Gas will respond by 3:30 p.m. Central Time on October 29,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Option 1</w:t>
      </w:r>
    </w:p>
    <w:p>
      <w:pPr>
        <w:pStyle w:val="Normal"/>
        <w:rPr>
          <w:sz w:val="24"/>
        </w:rPr>
      </w:pPr>
      <w:r>
        <w:rPr>
          <w:sz w:val="24"/>
        </w:rPr>
        <w:t>December 1, 2001 through January 31, 2002</w:t>
      </w:r>
    </w:p>
    <w:p>
      <w:pPr>
        <w:pStyle w:val="Normal"/>
        <w:rPr>
          <w:sz w:val="24"/>
        </w:rPr>
      </w:pPr>
      <w:r>
        <w:rPr>
          <w:sz w:val="24"/>
        </w:rPr>
        <w:t>10-day $3.00 Fixed Price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North Shore citygate, a.k.a. NSG TTP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Option 2</w:t>
      </w:r>
    </w:p>
    <w:p>
      <w:pPr>
        <w:pStyle w:val="Normal"/>
        <w:rPr>
          <w:sz w:val="24"/>
        </w:rPr>
      </w:pPr>
      <w:r>
        <w:rPr>
          <w:sz w:val="24"/>
        </w:rPr>
        <w:t>December 1, 2001 through January 31, 2002</w:t>
      </w:r>
    </w:p>
    <w:p>
      <w:pPr>
        <w:pStyle w:val="Normal"/>
        <w:rPr>
          <w:sz w:val="24"/>
        </w:rPr>
      </w:pPr>
      <w:r>
        <w:rPr>
          <w:sz w:val="24"/>
        </w:rPr>
        <w:t>Everyday (62-day) FOM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North Shore citygate, a.k.a. NSG TTP</w:t>
      </w:r>
    </w:p>
    <w:p>
      <w:pPr>
        <w:pStyle w:val="Normal"/>
        <w:rPr>
          <w:sz w:val="24"/>
        </w:rPr>
      </w:pPr>
      <w:r>
        <w:rPr>
          <w:sz w:val="24"/>
        </w:rPr>
      </w:r>
    </w:p>
    <w:p>
      <w:pPr>
        <w:pStyle w:val="Normal"/>
        <w:rPr>
          <w:sz w:val="24"/>
        </w:rPr>
      </w:pPr>
      <w:r>
        <w:rPr>
          <w:sz w:val="24"/>
        </w:rPr>
      </w:r>
    </w:p>
    <w:p>
      <w:pPr>
        <w:pStyle w:val="Normal"/>
        <w:rPr>
          <w:sz w:val="24"/>
        </w:rPr>
      </w:pPr>
      <w:r>
        <w:rPr>
          <w:sz w:val="24"/>
        </w:rPr>
        <w:t>Option 3</w:t>
      </w:r>
    </w:p>
    <w:p>
      <w:pPr>
        <w:pStyle w:val="Normal"/>
        <w:rPr>
          <w:sz w:val="24"/>
        </w:rPr>
      </w:pPr>
      <w:r>
        <w:rPr>
          <w:sz w:val="24"/>
        </w:rPr>
        <w:t>December 1, 2001 through January 31, 2002</w:t>
      </w:r>
    </w:p>
    <w:p>
      <w:pPr>
        <w:pStyle w:val="Normal"/>
        <w:rPr>
          <w:sz w:val="24"/>
        </w:rPr>
      </w:pPr>
      <w:r>
        <w:rPr>
          <w:sz w:val="24"/>
        </w:rPr>
        <w:t>At the money call</w:t>
      </w:r>
    </w:p>
    <w:p>
      <w:pPr>
        <w:pStyle w:val="Normal"/>
        <w:ind w:firstLine="720" w:end="0"/>
        <w:rPr>
          <w:sz w:val="24"/>
        </w:rPr>
      </w:pPr>
      <w:r>
        <w:rPr>
          <w:sz w:val="24"/>
        </w:rPr>
        <w:t>a.  10,000 MMBtu/d</w:t>
      </w:r>
    </w:p>
    <w:p>
      <w:pPr>
        <w:pStyle w:val="Normal"/>
        <w:ind w:firstLine="720" w:end="0"/>
        <w:rPr>
          <w:sz w:val="24"/>
        </w:rPr>
      </w:pPr>
      <w:r>
        <w:rPr>
          <w:sz w:val="24"/>
        </w:rPr>
        <w:t>b.  20,000 MMBtu/d</w:t>
      </w:r>
    </w:p>
    <w:p>
      <w:pPr>
        <w:pStyle w:val="Normal"/>
        <w:rPr>
          <w:sz w:val="24"/>
        </w:rPr>
      </w:pPr>
      <w:r>
        <w:rPr>
          <w:sz w:val="24"/>
        </w:rPr>
        <w:t>Primary Delivery Point:</w:t>
        <w:tab/>
        <w:t>PGL citygate, a.k.a. PGL TTP</w:t>
      </w:r>
    </w:p>
    <w:p>
      <w:pPr>
        <w:pStyle w:val="Normal"/>
        <w:rPr>
          <w:sz w:val="24"/>
        </w:rPr>
      </w:pPr>
      <w:r>
        <w:rPr>
          <w:sz w:val="24"/>
        </w:rPr>
        <w:t>Secondary Delivery Points:</w:t>
        <w:tab/>
        <w:t>North Shore citygate, a.k.a. NSG TTP</w:t>
      </w:r>
    </w:p>
    <w:p>
      <w:pPr>
        <w:pStyle w:val="Normal"/>
        <w:rPr>
          <w:sz w:val="24"/>
        </w:rPr>
      </w:pPr>
      <w:r>
        <w:rPr>
          <w:sz w:val="24"/>
        </w:rPr>
      </w:r>
    </w:p>
    <w:sectPr>
      <w:headerReference w:type="defaul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0" allowOverlap="1" relativeHeight="5">
          <wp:simplePos x="0" y="0"/>
          <wp:positionH relativeFrom="page">
            <wp:posOffset>640080</wp:posOffset>
          </wp:positionH>
          <wp:positionV relativeFrom="page">
            <wp:posOffset>274320</wp:posOffset>
          </wp:positionV>
          <wp:extent cx="1545590" cy="456565"/>
          <wp:effectExtent l="0" t="0" r="0" b="0"/>
          <wp:wrapNone/>
          <wp:docPr id="1" name="PEC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CLOGO" descr="" title=""/>
                  <pic:cNvPicPr>
                    <a:picLocks noChangeAspect="1" noChangeArrowheads="1"/>
                  </pic:cNvPicPr>
                </pic:nvPicPr>
                <pic:blipFill>
                  <a:blip r:embed="rId1"/>
                  <a:srcRect l="-14" t="-47" r="-14" b="-47"/>
                  <a:stretch>
                    <a:fillRect/>
                  </a:stretch>
                </pic:blipFill>
                <pic:spPr bwMode="auto">
                  <a:xfrm>
                    <a:off x="0" y="0"/>
                    <a:ext cx="1545590" cy="45656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brune@Nisource.com" TargetMode="External"/><Relationship Id="rId3" Type="http://schemas.openxmlformats.org/officeDocument/2006/relationships/hyperlink" Target="mailto:d.wear@pecorp.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2001-10-05T18:44:00Z</dcterms:created>
  <dc:creator>PGL&amp;C</dc:creator>
  <dc:description/>
  <dc:language>en-CA</dc:language>
  <cp:lastModifiedBy>PGL&amp;C</cp:lastModifiedBy>
  <cp:lastPrinted>2001-10-05T11:09:00Z</cp:lastPrinted>
  <dcterms:modified xsi:type="dcterms:W3CDTF">2001-10-05T18:45:00Z</dcterms:modified>
  <cp:revision>3</cp:revision>
  <dc:subject/>
  <dc:title>Supplier Name</dc:title>
</cp:coreProperties>
</file>