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 xml:space="preserve">DRAFT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ENA Upstream Company, LLC., a Delaware corporation ("</w:t>
      </w:r>
      <w:r>
        <w:rPr>
          <w:rFonts w:cs="Arial Narrow" w:ascii="Arial Narrow" w:hAnsi="Arial Narrow"/>
          <w:sz w:val="18"/>
          <w:u w:val="single"/>
        </w:rPr>
        <w:t>Company</w:t>
      </w:r>
      <w:r>
        <w:rPr>
          <w:rFonts w:cs="Arial Narrow" w:ascii="Arial Narrow" w:hAnsi="Arial Narrow"/>
          <w:sz w:val="18"/>
        </w:rPr>
        <w:t>"), and ___________ ,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_____ Day of _________,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$_____________, or with respect to Customer, at any time, Customer shall have defaulted on its indebted</w:t>
        <w:softHyphen/>
        <w:t xml:space="preserve">ness to third parties, resulting in an acceleration of obligations of Customer in excess of $___________,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$______________ then Customer as the Beneficiary Party may request the Company to establish a Letter of Credit as the Account Party in an amount equal to the Termination Payment in excess of $______________(rounding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$_______________, then Company as the Beneficiary Party may request Customer to establish a Letter of Credit as the Account Party in an amount equal to the Termination Payment in excess of $____________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ENA  UPSTREAM COMPANYM,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/mnt/main-storage/datasets/enron-docs/doc/ENA_Upstream___Master_.doc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ultimate parent, Enron Corp.,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tab/>
        <w:tab/>
        <w:tab/>
        <w:tab/>
        <w:tab/>
      </w:r>
    </w:p>
    <w:p>
      <w:pPr>
        <w:pStyle w:val="Normal"/>
        <w:jc w:val="both"/>
        <w:rPr>
          <w:rFonts w:ascii="Arial Narrow" w:hAnsi="Arial Narrow" w:cs="Arial Narrow"/>
          <w:sz w:val="18"/>
        </w:rPr>
      </w:pPr>
      <w:r>
        <w:rPr>
          <w:rFonts w:cs="Arial Narrow" w:ascii="Arial Narrow" w:hAnsi="Arial Narrow"/>
          <w:sz w:val="18"/>
        </w:rPr>
        <w:tab/>
        <w:tab/>
        <w:tab/>
        <w:tab/>
        <w:t>Debt Ratings Change (guarantor)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Material Change in customer creditworthiness</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senior unsecured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EBITDA /  Interest Expense</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Customer's Guarantor shall have any of the following occurring at any time (a) the ratio of its Funded Debt  to its Net Worth is more than .25 to 1; or (b) its Net Worth falls below $75,000,000 or (c) that ratio of its  EBITDA to Interest Expense is more than 5 to 1. </w:t>
        <w:softHyphen/>
        <w:softHyphen/>
        <w:softHyphen/>
        <w:softHyphen/>
        <w:softHyphen/>
        <w:softHyphen/>
        <w:softHyphen/>
        <w:softHyphen/>
        <w:softHyphen/>
        <w:softHyphen/>
        <w:softHyphen/>
        <w:softHyphen/>
        <w:softHyphen/>
        <w:softHyphen/>
        <w:softHyphen/>
        <w:softHyphen/>
        <w:softHyphen/>
        <w:softHyphen/>
        <w:softHyphen/>
        <w:softHyphen/>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Current Ratio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Cash Flow</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Ownership</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BodyText"/>
        <w:ind w:start="720" w:end="0"/>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rPr/>
      </w:pPr>
      <w:r>
        <w:rPr>
          <w:rFonts w:cs="Arial Narrow" w:ascii="Arial Narrow" w:hAnsi="Arial Narrow"/>
          <w:sz w:val="18"/>
        </w:rPr>
        <w:t>"</w:t>
      </w:r>
      <w:r>
        <w:rPr>
          <w:rFonts w:cs="Arial Narrow" w:ascii="Arial Narrow" w:hAnsi="Arial Narrow"/>
          <w:b/>
          <w:sz w:val="18"/>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pPr>
      <w:r>
        <w:rPr/>
        <w:t>SAMPLE  FOR DISCUSSION PURPOSES ONLY</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2001-09-26T17:34:00Z</dcterms:created>
  <dc:creator>dperlin</dc:creator>
  <dc:description/>
  <dc:language>en-CA</dc:language>
  <cp:lastModifiedBy>dperlin</cp:lastModifiedBy>
  <cp:lastPrinted>2001-09-26T11:00:00Z</cp:lastPrinted>
  <dcterms:modified xsi:type="dcterms:W3CDTF">2001-09-26T17:34:00Z</dcterms:modified>
  <cp:revision>2</cp:revision>
  <dc:subject/>
  <dc:title>ENFOLIO® MASTER FIRM PURCHASE/SALE AGREEMENT</dc:title>
</cp:coreProperties>
</file>