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NATURAL GAS INVENTORY</w:t>
      </w:r>
    </w:p>
    <w:p>
      <w:pPr>
        <w:pStyle w:val="Heading"/>
        <w:rPr>
          <w:u w:val="none"/>
        </w:rPr>
      </w:pPr>
      <w:r>
        <w:rPr/>
        <w:t>IN-PLACE TRANSFER AND SALE AGREEMENT</w:t>
      </w:r>
    </w:p>
    <w:p>
      <w:pPr>
        <w:pStyle w:val="Normal"/>
        <w:widowControl w:val="false"/>
        <w:ind w:firstLine="720" w:end="0"/>
        <w:jc w:val="both"/>
        <w:rPr>
          <w:rFonts w:ascii="Arial" w:hAnsi="Arial" w:cs="Arial"/>
          <w:sz w:val="22"/>
          <w:szCs w:val="22"/>
          <w:u w:val="none"/>
        </w:rPr>
      </w:pPr>
      <w:r>
        <w:rPr>
          <w:rFonts w:cs="Arial" w:ascii="Arial" w:hAnsi="Arial"/>
          <w:sz w:val="22"/>
          <w:szCs w:val="22"/>
          <w:u w:val="none"/>
        </w:rPr>
      </w:r>
    </w:p>
    <w:p>
      <w:pPr>
        <w:pStyle w:val="Normal"/>
        <w:widowControl w:val="false"/>
        <w:ind w:firstLine="720" w:end="0"/>
        <w:jc w:val="both"/>
        <w:rPr>
          <w:rFonts w:ascii="Arial" w:hAnsi="Arial" w:cs="Arial"/>
          <w:sz w:val="22"/>
          <w:szCs w:val="22"/>
        </w:rPr>
      </w:pPr>
      <w:r>
        <w:rPr>
          <w:rFonts w:cs="Arial" w:ascii="Arial" w:hAnsi="Arial"/>
          <w:sz w:val="22"/>
          <w:szCs w:val="22"/>
        </w:rPr>
        <w:t>THIS Natural Gas Inventory In-Place Transfer and Sale Agreement (the “Agreement”) is made and entered into as of ________________, 2002 by and between El Paso Merchant Energy, L.P., a Delaware limited partnership (“EPME”), and Enron North America Corp., a Delaware Corporation (“Enron”). EPME and Enron are hereafter sometimes referred to individually as “Party” and collectively as the “Parties”.</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 xml:space="preserve">WHEREAS, Enron desires to sell EPME certain inventory Gas presently held under Enron’s Nominated Firm Storage Service Agreement with </w:t>
      </w:r>
      <w:r>
        <w:rPr>
          <w:rFonts w:cs="Arial" w:ascii="Arial" w:hAnsi="Arial"/>
          <w:spacing w:val="-6"/>
          <w:sz w:val="22"/>
        </w:rPr>
        <w:t>Natural Gas Pipeline Company of America</w:t>
      </w:r>
      <w:r>
        <w:rPr>
          <w:rFonts w:cs="Arial" w:ascii="Arial" w:hAnsi="Arial"/>
          <w:sz w:val="22"/>
          <w:szCs w:val="22"/>
        </w:rPr>
        <w:t>, and EPME desires to purchase the same; and</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rFonts w:ascii="Arial" w:hAnsi="Arial" w:cs="Arial"/>
          <w:sz w:val="22"/>
          <w:szCs w:val="22"/>
        </w:rPr>
      </w:pPr>
      <w:r>
        <w:rPr>
          <w:rFonts w:cs="Arial" w:ascii="Arial" w:hAnsi="Arial"/>
          <w:sz w:val="22"/>
          <w:szCs w:val="22"/>
        </w:rPr>
        <w:t>WHEREAS, the Parties to set forth certain terms and conditions applicable to the sale and purchase of the referenced Gas;</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rFonts w:ascii="Arial" w:hAnsi="Arial" w:cs="Arial"/>
          <w:sz w:val="22"/>
          <w:szCs w:val="22"/>
        </w:rPr>
      </w:pPr>
      <w:r>
        <w:rPr>
          <w:rFonts w:cs="Arial" w:ascii="Arial" w:hAnsi="Arial"/>
          <w:sz w:val="22"/>
          <w:szCs w:val="22"/>
        </w:rPr>
        <w:t xml:space="preserve">NOW, THEREFORE, in consideration of the premises and mutual covenants contained herein, the sufficiency of which is hereby acknowledge by the Parties, Enron and EPME mutually agree as follows: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Cs/>
          <w:sz w:val="22"/>
        </w:rPr>
      </w:pPr>
      <w:r>
        <w:rPr>
          <w:rFonts w:cs="Arial" w:ascii="Arial" w:hAnsi="Arial"/>
          <w:b/>
          <w:bCs/>
          <w:sz w:val="22"/>
        </w:rPr>
        <w:t>SECTION 1-DEFINTIONS</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w:t>
      </w:r>
      <w:r>
        <w:rPr>
          <w:rFonts w:cs="Arial" w:ascii="Arial" w:hAnsi="Arial"/>
          <w:sz w:val="22"/>
        </w:rPr>
        <w:t>Bankruptcy Code” shall mean the United States Bankruptcy Code, Title 11, United States Code.</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pacing w:val="-6"/>
          <w:sz w:val="22"/>
        </w:rPr>
      </w:pPr>
      <w:r>
        <w:rPr>
          <w:rFonts w:cs="Arial" w:ascii="Arial" w:hAnsi="Arial"/>
          <w:spacing w:val="-6"/>
          <w:sz w:val="22"/>
        </w:rPr>
        <w:t>“</w:t>
      </w:r>
      <w:r>
        <w:rPr>
          <w:rFonts w:cs="Arial" w:ascii="Arial" w:hAnsi="Arial"/>
          <w:spacing w:val="-6"/>
          <w:sz w:val="22"/>
        </w:rPr>
        <w:t>Bankruptcy Court” shall mean the United States Bankruptcy Court for the Southern District of New York, or any successor court having jurisdiction over Enron’s bankruptcy case that is presently being jointly administered as Enron Corp., et.al., Chapter 11 Case No. 01-16034 (AJG), in the Southern District of New York.</w:t>
      </w:r>
    </w:p>
    <w:p>
      <w:pPr>
        <w:pStyle w:val="Normal"/>
        <w:jc w:val="both"/>
        <w:rPr>
          <w:rFonts w:ascii="Arial" w:hAnsi="Arial" w:cs="Arial"/>
          <w:spacing w:val="-6"/>
          <w:sz w:val="22"/>
        </w:rPr>
      </w:pPr>
      <w:r>
        <w:rPr>
          <w:rFonts w:cs="Arial" w:ascii="Arial" w:hAnsi="Arial"/>
          <w:spacing w:val="-6"/>
          <w:sz w:val="22"/>
        </w:rPr>
      </w:r>
    </w:p>
    <w:p>
      <w:pPr>
        <w:pStyle w:val="Normal"/>
        <w:jc w:val="both"/>
        <w:rPr>
          <w:rFonts w:ascii="Arial" w:hAnsi="Arial" w:cs="Arial"/>
          <w:spacing w:val="-6"/>
          <w:sz w:val="22"/>
        </w:rPr>
      </w:pPr>
      <w:r>
        <w:rPr>
          <w:rFonts w:cs="Arial" w:ascii="Arial" w:hAnsi="Arial"/>
          <w:spacing w:val="-6"/>
          <w:sz w:val="22"/>
        </w:rPr>
        <w:t>"Business Day" shall mean any day except Saturday, Sunday or Federal Reserve Bank holidays.</w:t>
      </w:r>
    </w:p>
    <w:p>
      <w:pPr>
        <w:pStyle w:val="Normal"/>
        <w:jc w:val="both"/>
        <w:rPr>
          <w:rFonts w:ascii="Arial" w:hAnsi="Arial" w:cs="Arial"/>
          <w:spacing w:val="-6"/>
          <w:sz w:val="22"/>
        </w:rPr>
      </w:pPr>
      <w:r>
        <w:rPr>
          <w:rFonts w:cs="Arial" w:ascii="Arial" w:hAnsi="Arial"/>
          <w:spacing w:val="-6"/>
          <w:sz w:val="22"/>
        </w:rPr>
      </w:r>
    </w:p>
    <w:p>
      <w:pPr>
        <w:pStyle w:val="Normal"/>
        <w:jc w:val="both"/>
        <w:rPr>
          <w:rFonts w:ascii="Arial" w:hAnsi="Arial" w:cs="Arial"/>
          <w:spacing w:val="-6"/>
          <w:sz w:val="22"/>
        </w:rPr>
      </w:pPr>
      <w:r>
        <w:rPr>
          <w:rFonts w:cs="Arial" w:ascii="Arial" w:hAnsi="Arial"/>
          <w:spacing w:val="-6"/>
          <w:sz w:val="22"/>
        </w:rPr>
        <w:t>"Contract Price" shall mean $1.955 U.S. Dollars per MMBtu.</w:t>
      </w:r>
    </w:p>
    <w:p>
      <w:pPr>
        <w:pStyle w:val="Normal"/>
        <w:jc w:val="both"/>
        <w:rPr>
          <w:rFonts w:ascii="Arial" w:hAnsi="Arial" w:cs="Arial"/>
          <w:spacing w:val="-6"/>
          <w:sz w:val="22"/>
        </w:rPr>
      </w:pPr>
      <w:r>
        <w:rPr>
          <w:rFonts w:cs="Arial" w:ascii="Arial" w:hAnsi="Arial"/>
          <w:spacing w:val="-6"/>
          <w:sz w:val="22"/>
        </w:rPr>
      </w:r>
    </w:p>
    <w:p>
      <w:pPr>
        <w:pStyle w:val="Normal"/>
        <w:jc w:val="both"/>
        <w:rPr>
          <w:rFonts w:ascii="Arial" w:hAnsi="Arial" w:cs="Arial"/>
          <w:spacing w:val="-6"/>
          <w:sz w:val="22"/>
        </w:rPr>
      </w:pPr>
      <w:r>
        <w:rPr>
          <w:rFonts w:cs="Arial" w:ascii="Arial" w:hAnsi="Arial"/>
          <w:spacing w:val="-6"/>
          <w:sz w:val="22"/>
        </w:rPr>
        <w:t>"Contract Quantity" shall mean the total quantity of Gas to be delivered and taken by EPME under the terms of this Agreement at the respective Location Points as stated below:</w:t>
      </w:r>
    </w:p>
    <w:p>
      <w:pPr>
        <w:pStyle w:val="Normal"/>
        <w:jc w:val="both"/>
        <w:rPr>
          <w:rFonts w:ascii="Arial" w:hAnsi="Arial" w:cs="Arial"/>
          <w:spacing w:val="-6"/>
          <w:sz w:val="22"/>
        </w:rPr>
      </w:pPr>
      <w:r>
        <w:rPr>
          <w:rFonts w:cs="Arial" w:ascii="Arial" w:hAnsi="Arial"/>
          <w:spacing w:val="-6"/>
          <w:sz w:val="22"/>
        </w:rPr>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TexOk Pool—472 MMBtus;</w:t>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South TX Pool—758,666 MMBtus; and</w:t>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LA Pool—1,336,843--MMBtus.</w:t>
      </w:r>
    </w:p>
    <w:p>
      <w:pPr>
        <w:pStyle w:val="Normal"/>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"Day" shall mean a period of 24 consecutive hours, coextensive with a "day" as defined by NGPL’s effective FERC tariff.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w:t>
      </w:r>
      <w:r>
        <w:rPr>
          <w:rFonts w:cs="Arial" w:ascii="Arial" w:hAnsi="Arial"/>
          <w:spacing w:val="-6"/>
          <w:sz w:val="22"/>
        </w:rPr>
        <w:t>Effective Date” shall mean the Day that the Bankruptcy Court’s order approving Enron’s sale of the Gas to EPME under the terms and conditions set forth in this executed Agreement becomes  final and non-appealable.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w:t>
      </w:r>
      <w:r>
        <w:rPr>
          <w:rFonts w:cs="Arial" w:ascii="Arial" w:hAnsi="Arial"/>
          <w:spacing w:val="-6"/>
          <w:sz w:val="22"/>
        </w:rPr>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jc w:val="both"/>
        <w:rPr>
          <w:rFonts w:ascii="Arial" w:hAnsi="Arial" w:cs="Arial"/>
          <w:sz w:val="22"/>
        </w:rPr>
      </w:pPr>
      <w:r>
        <w:rPr>
          <w:rFonts w:cs="Arial" w:ascii="Arial" w:hAnsi="Arial"/>
          <w:sz w:val="22"/>
        </w:rPr>
        <w:t>“</w:t>
      </w:r>
      <w:r>
        <w:rPr>
          <w:rFonts w:cs="Arial" w:ascii="Arial" w:hAnsi="Arial"/>
          <w:sz w:val="22"/>
        </w:rPr>
        <w:t xml:space="preserve">Interest” shall mean the rate of interest equal to </w:t>
      </w:r>
      <w:r>
        <w:rPr>
          <w:rFonts w:cs="Arial" w:ascii="Arial" w:hAnsi="Arial"/>
          <w:spacing w:val="-6"/>
          <w:sz w:val="22"/>
        </w:rPr>
        <w:t>the lower of (</w:t>
      </w:r>
      <w:r>
        <w:rPr>
          <w:rFonts w:cs="Arial" w:ascii="Arial" w:hAnsi="Arial"/>
          <w:spacing w:val="-6"/>
          <w:sz w:val="22"/>
          <w:lang w:val="en-CA" w:eastAsia="en-CA"/>
        </w:rPr>
        <w:t>i</w:t>
      </w:r>
      <w:r>
        <w:rPr>
          <w:rFonts w:cs="Arial" w:ascii="Arial" w:hAnsi="Arial"/>
          <w:spacing w:val="-6"/>
          <w:sz w:val="22"/>
        </w:rPr>
        <w:t>) the then-effective prime rate of interest published under "Money Rates" by The Wall Street Journal, plus two percent per annum from the date due until the date of payment; or (</w:t>
      </w:r>
      <w:r>
        <w:rPr>
          <w:rFonts w:cs="Arial" w:ascii="Arial" w:hAnsi="Arial"/>
          <w:spacing w:val="-6"/>
          <w:sz w:val="22"/>
          <w:lang w:val="en-CA" w:eastAsia="en-CA"/>
        </w:rPr>
        <w:t>ii</w:t>
      </w:r>
      <w:r>
        <w:rPr>
          <w:rFonts w:cs="Arial" w:ascii="Arial" w:hAnsi="Arial"/>
          <w:spacing w:val="-6"/>
          <w:sz w:val="22"/>
        </w:rPr>
        <w:t>) the maximum applicable lawful interest rate.</w:t>
      </w:r>
    </w:p>
    <w:p>
      <w:pPr>
        <w:pStyle w:val="Normal"/>
        <w:jc w:val="both"/>
        <w:rPr>
          <w:rFonts w:ascii="Arial" w:hAnsi="Arial" w:cs="Arial"/>
          <w:sz w:val="22"/>
        </w:rPr>
      </w:pPr>
      <w:r>
        <w:rPr>
          <w:rFonts w:cs="Arial" w:ascii="Arial" w:hAnsi="Arial"/>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"Location Point(s)" shall mean the following mutually agreed upon point(s) in the NGPL storage system:</w:t>
      </w:r>
    </w:p>
    <w:p>
      <w:pPr>
        <w:pStyle w:val="Normal"/>
        <w:widowControl w:val="false"/>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TexOk Pool;</w:t>
      </w:r>
    </w:p>
    <w:p>
      <w:pPr>
        <w:pStyle w:val="Normal"/>
        <w:widowControl w:val="false"/>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South TX Pool; and</w:t>
      </w:r>
    </w:p>
    <w:p>
      <w:pPr>
        <w:pStyle w:val="Normal"/>
        <w:widowControl w:val="false"/>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LA Pool.</w:t>
      </w:r>
    </w:p>
    <w:p>
      <w:pPr>
        <w:pStyle w:val="Normal"/>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rFonts w:cs="Arial" w:ascii="Arial" w:hAnsi="Arial"/>
          <w:spacing w:val="-6"/>
          <w:sz w:val="22"/>
        </w:rPr>
        <w:t>“</w:t>
      </w:r>
      <w:r>
        <w:rPr>
          <w:rFonts w:cs="Arial" w:ascii="Arial" w:hAnsi="Arial"/>
          <w:spacing w:val="-6"/>
          <w:sz w:val="22"/>
        </w:rPr>
        <w:t xml:space="preserve">NGPL” shall mean Natural Gas Pipeline Company of America, </w:t>
      </w:r>
      <w:r>
        <w:rPr>
          <w:rFonts w:cs="Arial" w:ascii="Arial" w:hAnsi="Arial"/>
          <w:sz w:val="20"/>
          <w:szCs w:val="20"/>
        </w:rPr>
        <w:t>an interstate gas transmission subsidiary of Kinder Morgan, Inc.</w:t>
      </w:r>
      <w:r>
        <w:rPr>
          <w:rFonts w:cs="Arial" w:ascii="Arial" w:hAnsi="Arial"/>
          <w:spacing w:val="-6"/>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w:t>
      </w:r>
      <w:r>
        <w:rPr>
          <w:rFonts w:cs="Arial" w:ascii="Arial" w:hAnsi="Arial"/>
          <w:spacing w:val="-6"/>
          <w:sz w:val="22"/>
        </w:rPr>
        <w:t>Nominated Storage Service or “NSS” shall mean the flexible firm storage service contracted for by Enron for the storage of the Gas with NGPL in accordance with NGPL’s effective Gas tariff, which provides for storage rights in all zones on NGPL with no cycling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eastAsia="Arial" w:cs="Arial"/>
          <w:spacing w:val="-6"/>
          <w:sz w:val="22"/>
        </w:rPr>
      </w:pPr>
      <w:r>
        <w:rPr>
          <w:rFonts w:eastAsia="Arial" w:cs="Arial" w:ascii="Arial" w:hAnsi="Arial"/>
          <w:spacing w:val="-6"/>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"Payment Date" shall mean the date two Business Days after NGPL confirms that Enron has delivered and transferred the Gas to EPME at the Location Points in accordance with the terms of this Agreement.</w:t>
      </w:r>
    </w:p>
    <w:p>
      <w:pPr>
        <w:pStyle w:val="Normal"/>
        <w:jc w:val="both"/>
        <w:rPr>
          <w:rFonts w:ascii="Arial" w:hAnsi="Arial" w:cs="Arial"/>
          <w:spacing w:val="-6"/>
          <w:sz w:val="22"/>
        </w:rPr>
      </w:pPr>
      <w:r>
        <w:rPr>
          <w:rFonts w:cs="Arial" w:ascii="Arial" w:hAnsi="Arial"/>
          <w:spacing w:val="-6"/>
          <w:sz w:val="22"/>
        </w:rPr>
      </w:r>
    </w:p>
    <w:p>
      <w:pPr>
        <w:pStyle w:val="Normal"/>
        <w:jc w:val="both"/>
        <w:rPr/>
      </w:pPr>
      <w:r>
        <w:rPr>
          <w:rFonts w:cs="Arial" w:ascii="Arial" w:hAnsi="Arial"/>
          <w:spacing w:val="-6"/>
          <w:sz w:val="22"/>
        </w:rPr>
        <w:t xml:space="preserve">"Spot Price" shall mean the price </w:t>
      </w:r>
      <w:r>
        <w:rPr>
          <w:rFonts w:cs="Arial" w:ascii="Arial" w:hAnsi="Arial"/>
          <w:sz w:val="22"/>
        </w:rPr>
        <w:t>published by Platt’s Gas Daily’s Daily Price Survey for the Midpoint Index Price</w:t>
      </w:r>
      <w:r>
        <w:rPr>
          <w:rFonts w:cs="Arial" w:ascii="Arial" w:hAnsi="Arial"/>
          <w:spacing w:val="-6"/>
          <w:sz w:val="22"/>
        </w:rPr>
        <w:t>, under the following listings for the referenced Location Point(s):</w:t>
      </w:r>
    </w:p>
    <w:p>
      <w:pPr>
        <w:pStyle w:val="Normal"/>
        <w:jc w:val="both"/>
        <w:rPr>
          <w:rFonts w:ascii="Arial" w:hAnsi="Arial" w:cs="Arial"/>
          <w:spacing w:val="-6"/>
          <w:sz w:val="22"/>
        </w:rPr>
      </w:pPr>
      <w:r>
        <w:rPr>
          <w:rFonts w:cs="Arial" w:ascii="Arial" w:hAnsi="Arial"/>
          <w:spacing w:val="-6"/>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TexOk Pool – NGPL TexOk (East);</w:t>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South TX Pool – NGPL (STX); and</w:t>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NGPL LA Pool – NGPL (La.).</w:t>
      </w:r>
    </w:p>
    <w:p>
      <w:pPr>
        <w:pStyle w:val="Normal"/>
        <w:jc w:val="both"/>
        <w:rPr>
          <w:rFonts w:ascii="Arial" w:hAnsi="Arial" w:cs="Arial"/>
          <w:spacing w:val="-6"/>
          <w:sz w:val="22"/>
        </w:rPr>
      </w:pPr>
      <w:r>
        <w:rPr>
          <w:rFonts w:cs="Arial" w:ascii="Arial" w:hAnsi="Arial"/>
          <w:spacing w:val="-6"/>
          <w:sz w:val="22"/>
        </w:rPr>
      </w:r>
    </w:p>
    <w:p>
      <w:pPr>
        <w:pStyle w:val="Normal"/>
        <w:jc w:val="both"/>
        <w:rPr>
          <w:rFonts w:ascii="Arial" w:hAnsi="Arial" w:cs="Arial"/>
          <w:sz w:val="22"/>
        </w:rPr>
      </w:pPr>
      <w:r>
        <w:rPr>
          <w:rFonts w:cs="Arial" w:ascii="Arial" w:hAnsi="Arial"/>
          <w:spacing w:val="-6"/>
          <w:sz w:val="22"/>
        </w:rPr>
        <w:t xml:space="preserve">To the extent that a price is not published for the respective Location Point(s), the price shall be the price published by </w:t>
      </w:r>
      <w:r>
        <w:rPr>
          <w:rFonts w:cs="Arial" w:ascii="Arial" w:hAnsi="Arial"/>
          <w:sz w:val="22"/>
        </w:rPr>
        <w:t xml:space="preserve">Platt’s Gas Daily’s Daily Price Survey for </w:t>
      </w:r>
      <w:r>
        <w:rPr>
          <w:rFonts w:cs="Arial" w:ascii="Arial" w:hAnsi="Arial"/>
          <w:spacing w:val="-6"/>
          <w:sz w:val="22"/>
        </w:rPr>
        <w:t>the geographic location closest in proximity to the Location Point(s).  If there is no single Midpoint Index Price published for such Location Point(s) on the Effective Date, but there is published a range of prices, then the Spot Price shall be the average of such high and low prices for such Location Point(s).  If no price or range of prices is published on the Effective Date for the Location Point(s), then the Spot Price shall be the average of the following:  (</w:t>
      </w:r>
      <w:r>
        <w:rPr>
          <w:rFonts w:cs="Arial" w:ascii="Arial" w:hAnsi="Arial"/>
          <w:spacing w:val="-6"/>
          <w:sz w:val="22"/>
          <w:lang w:val="en-CA" w:eastAsia="en-CA"/>
        </w:rPr>
        <w:t>i</w:t>
      </w:r>
      <w:r>
        <w:rPr>
          <w:rFonts w:cs="Arial" w:ascii="Arial" w:hAnsi="Arial"/>
          <w:spacing w:val="-6"/>
          <w:sz w:val="22"/>
        </w:rPr>
        <w:t>) the price (determined as stated above) for the first Day for which a price or range of prices is published that next precedes the Effective Date; and (</w:t>
      </w:r>
      <w:r>
        <w:rPr>
          <w:rFonts w:cs="Arial" w:ascii="Arial" w:hAnsi="Arial"/>
          <w:spacing w:val="-6"/>
          <w:sz w:val="22"/>
          <w:lang w:val="en-CA" w:eastAsia="en-CA"/>
        </w:rPr>
        <w:t>ii</w:t>
      </w:r>
      <w:r>
        <w:rPr>
          <w:rFonts w:cs="Arial" w:ascii="Arial" w:hAnsi="Arial"/>
          <w:spacing w:val="-6"/>
          <w:sz w:val="22"/>
        </w:rPr>
        <w:t>) the price (determined as stated above) for the first Day for which a price or range of prices is published that next follows the Effective Date.</w:t>
      </w:r>
    </w:p>
    <w:p>
      <w:pPr>
        <w:pStyle w:val="Normal"/>
        <w:jc w:val="both"/>
        <w:rPr>
          <w:rFonts w:ascii="Arial" w:hAnsi="Arial" w:cs="Arial"/>
          <w:sz w:val="22"/>
        </w:rPr>
      </w:pPr>
      <w:r>
        <w:rPr>
          <w:rFonts w:cs="Arial" w:ascii="Arial" w:hAnsi="Arial"/>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mallCaps/>
          <w:sz w:val="22"/>
        </w:rPr>
      </w:pPr>
      <w:r>
        <w:rPr>
          <w:rFonts w:cs="Arial" w:ascii="Arial" w:hAnsi="Arial"/>
          <w:b/>
          <w:smallCaps/>
          <w:sz w:val="22"/>
        </w:rPr>
        <w:t>SECTION 2 - PERFORMANCE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rFonts w:cs="Arial" w:ascii="Arial" w:hAnsi="Arial"/>
          <w:bCs/>
          <w:smallCaps/>
          <w:sz w:val="22"/>
        </w:rPr>
        <w:t>2.1</w:t>
        <w:tab/>
        <w:t>E</w:t>
      </w:r>
      <w:r>
        <w:rPr>
          <w:rFonts w:cs="Arial" w:ascii="Arial" w:hAnsi="Arial"/>
          <w:bCs/>
          <w:sz w:val="22"/>
        </w:rPr>
        <w:t xml:space="preserve">nron agrees to use good faith and all reasonable efforts to obtain an expedited order from the Bankruptcy Court approving the sale of the Gas to EPME under the express terms and conditions set forth in this Agreement.  </w:t>
      </w:r>
      <w:r>
        <w:rPr>
          <w:rFonts w:cs="Arial" w:ascii="Arial" w:hAnsi="Arial"/>
          <w:b/>
          <w:sz w:val="22"/>
        </w:rPr>
        <w:t>The Parties expressly acknowledge and agree that to the extent that the Effective Date does not occur on or before January 31, 2002, the terms and conditions of this Agreement will not be binding on EPME and EPME will be under no obligation whatsoever to comply with or otherwise abide by the terms and conditions set forth in this Agreement.</w:t>
      </w:r>
      <w:r>
        <w:rPr>
          <w:rFonts w:cs="Arial" w:ascii="Arial" w:hAnsi="Arial"/>
          <w:bCs/>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Cs/>
          <w:sz w:val="22"/>
        </w:rPr>
      </w:pPr>
      <w:r>
        <w:rPr>
          <w:rFonts w:cs="Arial" w:ascii="Arial" w:hAnsi="Arial"/>
          <w:bCs/>
          <w:sz w:val="22"/>
        </w:rPr>
      </w:r>
    </w:p>
    <w:p>
      <w:pPr>
        <w:pStyle w:val="BodyText"/>
        <w:rPr>
          <w:b/>
          <w:bCs/>
          <w:spacing w:val="-6"/>
        </w:rPr>
      </w:pPr>
      <w:r>
        <w:rPr>
          <w:spacing w:val="-6"/>
        </w:rPr>
        <w:t>2.2</w:t>
        <w:tab/>
        <w:t>Enron agrees to sell, deliver and transfer to EPME, and EPME agrees to receive and purchase, the Contract Quantity of Gas at the Location Points on the Effective Date in accordance with the terms of this Agreement.</w:t>
      </w:r>
    </w:p>
    <w:p>
      <w:pPr>
        <w:pStyle w:val="Normal"/>
        <w:jc w:val="both"/>
        <w:rPr>
          <w:rFonts w:ascii="Arial" w:hAnsi="Arial" w:cs="Arial"/>
          <w:b/>
          <w:bCs/>
          <w:spacing w:val="-6"/>
          <w:sz w:val="22"/>
        </w:rPr>
      </w:pPr>
      <w:r>
        <w:rPr>
          <w:rFonts w:cs="Arial" w:ascii="Arial" w:hAnsi="Arial"/>
          <w:b/>
          <w:bCs/>
          <w:spacing w:val="-6"/>
          <w:sz w:val="22"/>
        </w:rPr>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Arial" w:hAnsi="Arial" w:cs="Arial"/>
          <w:sz w:val="22"/>
        </w:rPr>
      </w:pPr>
      <w:r>
        <w:rPr>
          <w:rFonts w:cs="Arial" w:ascii="Arial" w:hAnsi="Arial"/>
          <w:sz w:val="22"/>
        </w:rPr>
        <w:t>2.3</w:t>
        <w:tab/>
        <w:t>Enron agrees to be responsible for and to satisfy any and all charges, costs and expenses incurred with respect to the Gas prior to its delivery to EPME on the Effective Date, including the Effective Date itself, under the terms of this Agreement, including but not limited to (i) imbalance charges (fees, penalties, costs or charges (in cash or in kind) assessed by a transporter or storage facility); (ii) storage rates or charges (including compensation for system fuel and losses; (iii) any other storage or service charges or expenses applicable to NGPL’s NSS; and (iv) injection and/or withdrawal charges.</w:t>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Arial" w:hAnsi="Arial" w:cs="Arial"/>
          <w:sz w:val="22"/>
        </w:rPr>
      </w:pPr>
      <w:r>
        <w:rPr>
          <w:rFonts w:cs="Arial" w:ascii="Arial" w:hAnsi="Arial"/>
          <w:sz w:val="22"/>
        </w:rPr>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Arial" w:hAnsi="Arial" w:cs="Arial"/>
          <w:sz w:val="22"/>
        </w:rPr>
      </w:pPr>
      <w:r>
        <w:rPr>
          <w:rFonts w:cs="Arial" w:ascii="Arial" w:hAnsi="Arial"/>
          <w:sz w:val="22"/>
        </w:rPr>
        <w:t>2.4</w:t>
        <w:tab/>
        <w:t>The exclusive and sole remedy of the parties in the event of a breach of the terms and conditions of Section 2.2 shall be recovery of the following: (i) in the event of a breach by Enron for its failure to deliver any or all of the Contract Quantity at the Location Points under this Agreement, payment by Enron to EPME an amount equal to the difference between the Contract Quantity and the actual quantity of Gas delivered by Enron and accepted by EPME on the Effective Date at the respective Location Points, multiplied by the positive difference, if any, obtained by subtracting the Contract Price from the Spot Price for the Gas at the respective Location Points; (ii) in the event of a breach by EPME of its obligation to accept the Gas at the respective Location Points, payment by EPME to Enron in an amount equal to the difference between the Contract Quantity and the actual quantity of Gas delivered by Enron and accepted by EPME at the respective Location Points, multiplied by the positive difference, if any, obtained by subtracting the applicable Spot Price for the respective Location Points from the Contract Price.</w:t>
      </w:r>
    </w:p>
    <w:p>
      <w:pPr>
        <w:pStyle w:val="Normal"/>
        <w:jc w:val="both"/>
        <w:rPr>
          <w:rFonts w:ascii="Arial" w:hAnsi="Arial" w:cs="Arial"/>
          <w:sz w:val="22"/>
        </w:rPr>
      </w:pPr>
      <w:r>
        <w:rPr>
          <w:rFonts w:cs="Arial" w:ascii="Arial" w:hAnsi="Arial"/>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mallCaps/>
          <w:spacing w:val="-6"/>
          <w:sz w:val="22"/>
        </w:rPr>
      </w:pPr>
      <w:r>
        <w:rPr>
          <w:rFonts w:cs="Arial" w:ascii="Arial" w:hAnsi="Arial"/>
          <w:smallCaps/>
          <w:spacing w:val="-6"/>
          <w:sz w:val="22"/>
        </w:rPr>
        <w:t>2.5</w:t>
        <w:tab/>
        <w:t>EXCEPT AS OTHERWISE SPECIFICALLY PROVIDED HEREIN, IN NO EVENT WILL EITHER PARTY BE LIABLE UNDER THIS AGREEMENT, WHETHER IN CONTRACT, IN TORT (INCLUDING NEGLIGENCE AND STRICT LIABILITY), OR OTHERWISE, FOR  ANY INCIDENTAL, INDIRECT, EXEMPLARY, CONSEQUENTIAL, SPECIAL, OR PUNITIVE DAMAGES.</w:t>
      </w:r>
    </w:p>
    <w:p>
      <w:pPr>
        <w:pStyle w:val="Normal"/>
        <w:jc w:val="both"/>
        <w:rPr>
          <w:rFonts w:ascii="Arial" w:hAnsi="Arial" w:cs="Arial"/>
          <w:smallCaps/>
          <w:spacing w:val="-6"/>
          <w:sz w:val="22"/>
        </w:rPr>
      </w:pPr>
      <w:r>
        <w:rPr>
          <w:rFonts w:cs="Arial" w:ascii="Arial" w:hAnsi="Arial"/>
          <w:smallCaps/>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3 -  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All Gas sold and delivered by Enron shall meet the quality and heat requirements of NGPL as set forth in NGPL’s effective Gas tariff.  The unit of quantity measurement for purposes of this Agreement shall be one MMBtu dry.  Measurement of Gas quantities hereunder shall be in accordance with the established procedures of NGPL.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z w:val="22"/>
        </w:rPr>
      </w:pPr>
      <w:r>
        <w:rPr>
          <w:rFonts w:cs="Arial" w:ascii="Arial" w:hAnsi="Arial"/>
          <w:b/>
          <w:smallCaps/>
          <w:sz w:val="22"/>
        </w:rPr>
        <w:t>SECTION 4 - TAXES</w:t>
      </w:r>
    </w:p>
    <w:p>
      <w:pPr>
        <w:pStyle w:val="Normal"/>
        <w:jc w:val="both"/>
        <w:rPr>
          <w:rFonts w:ascii="Arial" w:hAnsi="Arial" w:cs="Arial"/>
          <w:sz w:val="22"/>
        </w:rPr>
      </w:pPr>
      <w:r>
        <w:rPr>
          <w:rFonts w:cs="Arial" w:ascii="Arial" w:hAnsi="Arial"/>
          <w:sz w:val="22"/>
        </w:rPr>
        <w:t xml:space="preserve">Enron shall pay or cause to be paid all taxes, fees, levies, penalties, licenses or charges imposed by any government authority (“Taxes”) on or with respect to the Gas prior to its delivery of the Gas to EPME at the Location Point(s) on the Effective Date, including the Effective Date, in accordance with the terms of this Agreement.  EPME shall pay or cause to be paid all Taxes on or with respect to the Gas after its delivery by Enron to EPME at the Location Point(s) on the Effective Date in accordance with the terms of this Agreement.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  To the extent that any Taxes on the Gas accrue, but are otherwise not payable until a date subsequent to the Effective Date, such as but not limited to any inventory taxes, the Parties agree that such Taxes shall be prorated between the parties so that the Taxes are appropriately applied to the account of the appropriate parties.  Any necessary adjustments for Taxes owed by Enron with respect to such accrued Taxes may be deducted from the payment otherwise owed by EPME under Section 5 if known and ascertained prior to the Payment Date. </w:t>
      </w:r>
    </w:p>
    <w:p>
      <w:pPr>
        <w:pStyle w:val="Normal"/>
        <w:jc w:val="both"/>
        <w:rPr>
          <w:rFonts w:ascii="Arial" w:hAnsi="Arial" w:cs="Arial"/>
          <w:sz w:val="22"/>
        </w:rPr>
      </w:pPr>
      <w:r>
        <w:rPr>
          <w:rFonts w:cs="Arial" w:ascii="Arial" w:hAnsi="Arial"/>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5 -  BILLING, PAYMENT AND AUDIT</w:t>
      </w:r>
    </w:p>
    <w:p>
      <w:pPr>
        <w:pStyle w:val="BodyText3"/>
        <w:widowControl/>
        <w:tabs>
          <w:tab w:val="clear" w:pos="1440"/>
          <w:tab w:val="clear" w:pos="8640"/>
        </w:tabs>
        <w:suppressAutoHyphens w:val="true"/>
        <w:rPr/>
      </w:pPr>
      <w:r>
        <w:rPr>
          <w:spacing w:val="-6"/>
          <w:sz w:val="22"/>
        </w:rPr>
        <w:t>5.1</w:t>
        <w:tab/>
        <w:t>Subject to Enron’s compliance with Section 2.2, EPME shall tender payment to Enron the amount due (i.e., the amount of Gas actually delivered and accepted by EPME multiplied by the Contract Price) in immediately available funds, on or before the Payment Date in accordance with the wiring instructions set forth in Section 7.   The Contract Price</w:t>
      </w:r>
      <w:r>
        <w:rPr>
          <w:spacing w:val="-2"/>
          <w:sz w:val="22"/>
          <w:szCs w:val="22"/>
        </w:rPr>
        <w:t xml:space="preserve"> will be inclusive of all royalties, Taxes, or other charges, costs or expenses set forth in Section 2.3 applicable to the Gas prior to acceptance by EPME at the Location Point(s).  In the event EPME should be required, by the laws of any governmental body having jurisdiction hereunder, to pay any such royalties, Taxes, charges, costs or charges for which Enron is liable and such amount is known prior to the Payment Date, then EPME shall have the right to reduce the amount payable hereunder by an amount equal to such royalties, Taxes, charges, costs or expenses.  In the event either Party should be required, by the laws of any governmental body having jurisdiction hereunder, to pay any such costs or charges for which the other Party is liable, then the liable Party shall reimburse the paying Party for the same within ten (10) Days of its receipt of the paying Party’s invoice therefore.</w:t>
      </w:r>
    </w:p>
    <w:p>
      <w:pPr>
        <w:pStyle w:val="BodyText3"/>
        <w:widowControl/>
        <w:tabs>
          <w:tab w:val="clear" w:pos="1440"/>
          <w:tab w:val="clear" w:pos="8640"/>
        </w:tabs>
        <w:suppressAutoHyphens w:val="true"/>
        <w:ind w:firstLine="720" w:end="0"/>
        <w:rPr>
          <w:spacing w:val="-2"/>
          <w:sz w:val="22"/>
          <w:szCs w:val="22"/>
        </w:rPr>
      </w:pPr>
      <w:r>
        <w:rPr>
          <w:spacing w:val="-2"/>
          <w:sz w:val="22"/>
          <w:szCs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5.2</w:t>
        <w:tab/>
        <w:t>If the Payment Date does not occur because NGPL is unable to confirm that Enron has the ability to deliver any portion of the Contract Quantity at the Location Points on the Effective Date, payment will be made only for such portion of Gas actually confirmed by NGPL, and Enron shall be deemed to be in breach of Section 2.2 of this Agreement for its failure to deliver the remaining portion of the Contract Quantity.  If EPME fails to remit the full amount payable by it when due, Interest on the unpaid portion shall accrue.   If EPME, in good faith, disputes the amount of any such statement or any part thereof, EPME will pay to Enron such amount as it concedes to be correct; provided, however, if EPME disputes the amount due, EPME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5.3</w:t>
        <w:tab/>
        <w:t>In the event any payments are due EPME under this Agreement, such payments shall be made within two Business Days after the receipt of an invoice by EPME unless otherwise precluded or delayed by operation of law.  To the extent delayed by operation of law, Enron will use all reasonable efforts to pursue the payment to EPME as soon as reasonably practicable.  Provided, further that Interest will accrue on any late payments made by Enron.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5.4</w:t>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this Agreement.  This examination right shall not be available with respect to proprietary information not directly relevant to this Agreement.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mallCaps/>
          <w:spacing w:val="-6"/>
          <w:sz w:val="22"/>
        </w:rPr>
      </w:pPr>
      <w:r>
        <w:rPr>
          <w:rFonts w:cs="Arial" w:ascii="Arial" w:hAnsi="Arial"/>
          <w:b/>
          <w:smallCaps/>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6 - 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6.1</w:t>
        <w:tab/>
        <w:t>Unless otherwise specifically agreed, title to the Gas shall pass from Enron to EPME at such time as it is delivered on the Effective Date at the Location Points.  Enron shall have responsibility for and assume any liability with respect to the Gas prior to its delivery to EPME at the specified Location Points under the terms of this Agreement.  EPME shall have responsibility for and assume any liability with respect to said Gas after its delivery to EPME at the Location Point(s) under the terms of this Agreement.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6.2</w:t>
        <w:tab/>
        <w:t>Enron represents warrants that it will have the right to convey and will transfer good and merchantable title to all Gas sold hereunder and delivered by it to EPME, free and clear of all liens, claims, encumbrances, charges and interests, and that the order from the Bankruptcy Court approving this Agreement under the terms of the Bankruptcy Code will contain all applicable and necessary language to insure that the sale occurs on such basis.  Further, the order entered by the Bankruptcy Court shall provide that any and all liens, claims, encumbrances, charges and interests made by any party or entity with respect to the Gas prior to the conveyance of title to EPME under the terms of this Agreement shall be asserted solely against the proceeds received by Enron from the sale of the Gas to EPME and not against the Gas itself.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bCs/>
          <w:spacing w:val="-6"/>
          <w:sz w:val="22"/>
        </w:rPr>
      </w:pPr>
      <w:r>
        <w:rPr>
          <w:rFonts w:cs="Arial" w:ascii="Arial" w:hAnsi="Arial"/>
          <w:b/>
          <w:bCs/>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6.3</w:t>
        <w:tab/>
        <w:t>Enron agrees to indemnify EPME and save it harmless from all losses, liabilities or claims including attorneys' fees and costs of court ("Claims"), from any and all persons, arising from or out of claims of title, personal injury or property damage from said Gas or other charges thereon which arise or attach from events occurring before title passes to EPME, including any such Claims arising out of Enron’s breach of Section 6.2.  EPME agrees to indemnify Enron and save it harmless from all Claims, from any and all persons, arising from or out of claims regarding payment, personal injury or property damage from said Gas or other charges thereon, which arise and attach from events occurring after title passes to EPME.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6"/>
          <w:sz w:val="22"/>
        </w:rPr>
      </w:pPr>
      <w:r>
        <w:rPr>
          <w:rFonts w:cs="Arial" w:ascii="Arial" w:hAnsi="Arial"/>
          <w:spacing w:val="-6"/>
          <w:sz w:val="22"/>
        </w:rPr>
        <w:t>6.4</w:t>
        <w:tab/>
        <w:t>Notwithstanding the other provisions of this Section 6., as between Enron and EPME, Enron will be liable for all Claims to the extent that such Claims arise from the failure of Gas delivered by Enron to meet the quality requirements of this Agreement.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mallCaps/>
          <w:spacing w:val="-6"/>
          <w:sz w:val="22"/>
        </w:rPr>
      </w:pPr>
      <w:r>
        <w:rPr>
          <w:rFonts w:cs="Arial" w:ascii="Arial" w:hAnsi="Arial"/>
          <w:b/>
          <w:smallCaps/>
          <w:spacing w:val="-6"/>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7 -  NOTICES</w:t>
      </w:r>
    </w:p>
    <w:p>
      <w:pPr>
        <w:pStyle w:val="Normal"/>
        <w:widowControl w:val="false"/>
        <w:numPr>
          <w:ilvl w:val="1"/>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0" w:start="0" w:end="0"/>
        <w:jc w:val="both"/>
        <w:rPr>
          <w:rFonts w:ascii="Arial" w:hAnsi="Arial" w:cs="Arial"/>
          <w:spacing w:val="-2"/>
          <w:sz w:val="22"/>
        </w:rPr>
      </w:pPr>
      <w:r>
        <w:rPr>
          <w:rFonts w:cs="Arial" w:ascii="Arial" w:hAnsi="Arial"/>
          <w:spacing w:val="-2"/>
          <w:sz w:val="22"/>
        </w:rPr>
        <w:t>All invoices, payments and other communications made pursuant to this Agreement ("Notices") shall be made to the addresses specified below:</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2"/>
          <w:sz w:val="22"/>
        </w:rPr>
      </w:pPr>
      <w:r>
        <w:rPr>
          <w:rFonts w:cs="Arial" w:ascii="Arial" w:hAnsi="Arial"/>
          <w:spacing w:val="-2"/>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Enron:</w:t>
        <w:tab/>
        <w:tab/>
        <w:tab/>
        <w:tab/>
        <w:tab/>
        <w:tab/>
        <w:t>EPME: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______________________</w:t>
        <w:tab/>
        <w:tab/>
        <w:tab/>
      </w:r>
      <w:r>
        <w:rPr>
          <w:rFonts w:cs="Arial" w:ascii="Arial" w:hAnsi="Arial"/>
          <w:sz w:val="22"/>
          <w:szCs w:val="22"/>
        </w:rPr>
        <w:t xml:space="preserve">El Paso Merchant Energy, L.P.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______________________</w:t>
        <w:tab/>
        <w:tab/>
        <w:tab/>
      </w:r>
      <w:r>
        <w:rPr>
          <w:rFonts w:cs="Arial" w:ascii="Arial" w:hAnsi="Arial"/>
          <w:sz w:val="22"/>
          <w:szCs w:val="22"/>
        </w:rPr>
        <w:t>Post Office Box 2511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______________________</w:t>
        <w:tab/>
        <w:tab/>
        <w:tab/>
      </w:r>
      <w:r>
        <w:rPr>
          <w:rFonts w:cs="Arial" w:ascii="Arial" w:hAnsi="Arial"/>
          <w:sz w:val="22"/>
          <w:szCs w:val="22"/>
        </w:rPr>
        <w:t>Houston, TX 77252-2511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pPr>
      <w:r>
        <w:rPr>
          <w:rFonts w:cs="Arial" w:ascii="Arial" w:hAnsi="Arial"/>
          <w:spacing w:val="-2"/>
          <w:sz w:val="22"/>
        </w:rPr>
        <w:t>______________________</w:t>
        <w:tab/>
        <w:tab/>
        <w:tab/>
      </w:r>
      <w:r>
        <w:rPr>
          <w:rFonts w:cs="Arial" w:ascii="Arial" w:hAnsi="Arial"/>
          <w:sz w:val="22"/>
          <w:szCs w:val="22"/>
        </w:rPr>
        <w:t>1001 Louisiana Street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______________________</w:t>
        <w:tab/>
        <w:tab/>
        <w:tab/>
      </w:r>
      <w:r>
        <w:rPr>
          <w:rFonts w:cs="Arial" w:ascii="Arial" w:hAnsi="Arial"/>
          <w:sz w:val="22"/>
          <w:szCs w:val="22"/>
        </w:rPr>
        <w:t>Houston, Texas  77252-2511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Attn: __________________</w:t>
        <w:tab/>
        <w:tab/>
        <w:tab/>
        <w:t>Attn: Contract Services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Phone:  ________________</w:t>
        <w:tab/>
        <w:tab/>
        <w:tab/>
      </w:r>
      <w:r>
        <w:rPr>
          <w:rFonts w:cs="Arial" w:ascii="Arial" w:hAnsi="Arial"/>
          <w:sz w:val="22"/>
          <w:szCs w:val="22"/>
        </w:rPr>
        <w:t>Phone:</w:t>
        <w:tab/>
        <w:tab/>
        <w:t>(713) 420-5000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Fax: __________________</w:t>
        <w:tab/>
        <w:tab/>
        <w:tab/>
        <w:t>Fax:</w:t>
        <w:tab/>
        <w:tab/>
      </w:r>
      <w:r>
        <w:rPr>
          <w:rFonts w:cs="Arial" w:ascii="Arial" w:hAnsi="Arial"/>
          <w:sz w:val="22"/>
          <w:szCs w:val="22"/>
        </w:rPr>
        <w:t>(713) 420-7577</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Wiring Instructions: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t>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start="720" w:end="0"/>
        <w:jc w:val="both"/>
        <w:rPr>
          <w:rFonts w:ascii="Arial" w:hAnsi="Arial" w:cs="Arial"/>
          <w:spacing w:val="-2"/>
          <w:sz w:val="22"/>
        </w:rPr>
      </w:pPr>
      <w:r>
        <w:rPr>
          <w:rFonts w:cs="Arial" w:ascii="Arial" w:hAnsi="Arial"/>
          <w:spacing w:val="-2"/>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rFonts w:cs="Arial" w:ascii="Arial" w:hAnsi="Arial"/>
          <w:spacing w:val="-2"/>
          <w:sz w:val="22"/>
        </w:rPr>
        <w:t>7.2</w:t>
        <w:tab/>
        <w:t xml:space="preserve">All Notices required hereunder may be sent by facsimile or mutually acceptable electronic means, a nationally recognized overnight </w:t>
      </w:r>
      <w:r>
        <w:rPr>
          <w:rFonts w:cs="Arial" w:ascii="Arial" w:hAnsi="Arial"/>
          <w:spacing w:val="-4"/>
          <w:sz w:val="22"/>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7.3</w:t>
        <w:tab/>
        <w:t>Notice shall be deemed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3"/>
          <w:sz w:val="22"/>
        </w:rPr>
      </w:pPr>
      <w:r>
        <w:rPr>
          <w:rFonts w:cs="Arial" w:ascii="Arial" w:hAnsi="Arial"/>
          <w:spacing w:val="-3"/>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8 -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3"/>
          <w:sz w:val="22"/>
        </w:rPr>
      </w:pPr>
      <w:r>
        <w:rPr>
          <w:rFonts w:cs="Arial" w:ascii="Arial" w:hAnsi="Arial"/>
          <w:spacing w:val="-3"/>
          <w:sz w:val="22"/>
        </w:rPr>
        <w:t>Force Majuere, as typically defined and understood at law, in the industry or otherwise, shall not be applicable to this Agreement to the extent that it in any manner delays the Effective Date beyond January 31, 2002.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3"/>
          <w:sz w:val="22"/>
        </w:rPr>
      </w:pPr>
      <w:r>
        <w:rPr>
          <w:rFonts w:cs="Arial" w:ascii="Arial" w:hAnsi="Arial"/>
          <w:spacing w:val="-3"/>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sz w:val="22"/>
        </w:rPr>
      </w:pPr>
      <w:r>
        <w:rPr>
          <w:rFonts w:cs="Arial" w:ascii="Arial" w:hAnsi="Arial"/>
          <w:b/>
          <w:smallCaps/>
          <w:sz w:val="22"/>
        </w:rPr>
        <w:t>SECTION 9 -  MISCELLANEOUS</w:t>
      </w:r>
    </w:p>
    <w:p>
      <w:pPr>
        <w:pStyle w:val="BodyText"/>
        <w:rPr/>
      </w:pPr>
      <w:r>
        <w:rPr/>
        <w:t>9.1</w:t>
        <w:tab/>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9.2</w:t>
        <w:tab/>
        <w:t>If any provision in this Agreement is determined to be invalid, void or unenforceable by any court having jurisdiction, including but not limited to the Bankruptcy Court, such determination shall not invalidate, void, or make unenforceable any other provision, agreement or covenant of this Agreement.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9.3</w:t>
        <w:tab/>
      </w:r>
      <w:r>
        <w:rPr>
          <w:rFonts w:cs="Arial" w:ascii="Arial" w:hAnsi="Arial"/>
          <w:sz w:val="22"/>
          <w:szCs w:val="22"/>
        </w:rPr>
        <w:t>No waiver by either Party of any one or more terms and conditions of this Agreement, whether related to the other party’s performance of any of the provisions of this Agreement, shall be construed as a waiver of any other term or condition of this Agreement, whether of a like kind or different nature.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9.4</w:t>
        <w:tab/>
        <w:t>This Agreement sets forth all understandings between the parties respecting each transaction subject hereto, and any prior contracts, agreements, understandings and representations, whether oral or written, relating to such transactions are merged into and superseded by this Agreement.  This Agreement may be amended only by a writing executed by both parties, and only to the extent that a subsequent order of the Bankruptcy Court approving the amended agreement is obtained and properly entered prior to the effectiveness of any such amendment.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9.5</w:t>
        <w:tab/>
        <w:t>The interpretation and performance of this Agreement shall be governed by the laws of the State of Texas,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9.6</w:t>
        <w:tab/>
        <w:t>This Agreement and all provisions herein will be subject to all applicable and valid statutes, rules, orders and regulations of any Federal, State, or local governmental authority having jurisdiction over the parties, their facilities, or Gas supply, this Agreement or any provisions thereof, including the Bankruptcy Code.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spacing w:val="-4"/>
          <w:sz w:val="22"/>
        </w:rPr>
      </w:pPr>
      <w:r>
        <w:rPr>
          <w:rFonts w:cs="Arial" w:ascii="Arial" w:hAnsi="Arial"/>
          <w:spacing w:val="-4"/>
          <w:sz w:val="22"/>
        </w:rPr>
        <w:t>9.7</w:t>
        <w:tab/>
        <w:t>There is no third party beneficiary to this Agreement.</w:t>
      </w:r>
    </w:p>
    <w:p>
      <w:pPr>
        <w:pStyle w:val="Normal"/>
        <w:jc w:val="both"/>
        <w:rPr>
          <w:rFonts w:ascii="Arial" w:hAnsi="Arial" w:cs="Arial"/>
          <w:spacing w:val="-4"/>
          <w:sz w:val="22"/>
        </w:rPr>
      </w:pPr>
      <w:r>
        <w:rPr>
          <w:rFonts w:cs="Arial" w:ascii="Arial" w:hAnsi="Arial"/>
          <w:spacing w:val="-4"/>
          <w:sz w:val="22"/>
        </w:rPr>
        <w:t>9.8</w:t>
        <w:tab/>
        <w:t>Each party to this Agreement represents and warrants that it has full and complete authority to enter into and perform this Agreement, subject to Enron obtaining an appropriate order from the Bankruptcy Court authorizing it to enter into and to consummate the terms and conditions of this Agreement.  Each person who executes this Agreement on behalf of either party represents and warrants that it has full and complete authority to do so and that such party will be bound thereby.</w:t>
      </w:r>
    </w:p>
    <w:p>
      <w:pPr>
        <w:pStyle w:val="Normal"/>
        <w:numPr>
          <w:ilvl w:val="1"/>
          <w:numId w:val="2"/>
        </w:numPr>
        <w:tabs>
          <w:tab w:val="clear" w:pos="720"/>
          <w:tab w:val="left" w:pos="0" w:leader="none"/>
        </w:tabs>
        <w:ind w:hanging="0" w:start="0" w:end="0"/>
        <w:jc w:val="both"/>
        <w:rPr>
          <w:rFonts w:ascii="Arial" w:hAnsi="Arial" w:cs="Arial"/>
          <w:spacing w:val="-3"/>
          <w:sz w:val="22"/>
        </w:rPr>
      </w:pPr>
      <w:r>
        <w:rPr>
          <w:rFonts w:cs="Arial" w:ascii="Arial" w:hAnsi="Arial"/>
          <w:spacing w:val="-3"/>
          <w:sz w:val="22"/>
        </w:rPr>
        <w:t>Each party reserves to itself all rights, set-offs, counterclaims, and other defenses which it is or may be entitled to arising from the Agreement.</w:t>
      </w:r>
    </w:p>
    <w:p>
      <w:pPr>
        <w:pStyle w:val="Normal"/>
        <w:numPr>
          <w:ilvl w:val="1"/>
          <w:numId w:val="2"/>
        </w:numPr>
        <w:tabs>
          <w:tab w:val="clear" w:pos="720"/>
          <w:tab w:val="left" w:pos="-540" w:leader="none"/>
        </w:tabs>
        <w:ind w:hanging="0" w:start="0" w:end="0"/>
        <w:jc w:val="both"/>
        <w:rPr>
          <w:rFonts w:ascii="Arial" w:hAnsi="Arial" w:cs="Arial"/>
          <w:spacing w:val="-3"/>
          <w:sz w:val="22"/>
        </w:rPr>
      </w:pPr>
      <w:r>
        <w:rPr>
          <w:rFonts w:cs="Arial" w:ascii="Arial" w:hAnsi="Arial"/>
          <w:spacing w:val="-3"/>
          <w:sz w:val="22"/>
        </w:rPr>
        <w:t xml:space="preserve">Sections 3, 4 and 6 shall survive the Parties performance of their respective obligations with respect to the delivery, acceptance and payment for the Gas under the terms of this Agreement. </w:t>
      </w:r>
    </w:p>
    <w:p>
      <w:pPr>
        <w:pStyle w:val="Normal"/>
        <w:jc w:val="both"/>
        <w:rPr>
          <w:rFonts w:ascii="Arial" w:hAnsi="Arial" w:cs="Arial"/>
          <w:spacing w:val="-3"/>
          <w:sz w:val="22"/>
        </w:rPr>
      </w:pPr>
      <w:r>
        <w:rPr>
          <w:rFonts w:cs="Arial" w:ascii="Arial" w:hAnsi="Arial"/>
          <w:spacing w:val="-3"/>
          <w:sz w:val="22"/>
        </w:rPr>
      </w:r>
    </w:p>
    <w:tbl>
      <w:tblPr>
        <w:tblW w:w="9576" w:type="dxa"/>
        <w:jc w:val="start"/>
        <w:tblInd w:w="0" w:type="dxa"/>
        <w:tblLayout w:type="fixed"/>
        <w:tblCellMar>
          <w:top w:w="0" w:type="dxa"/>
          <w:start w:w="108" w:type="dxa"/>
          <w:bottom w:w="0" w:type="dxa"/>
          <w:end w:w="108" w:type="dxa"/>
        </w:tblCellMar>
      </w:tblPr>
      <w:tblGrid>
        <w:gridCol w:w="918"/>
        <w:gridCol w:w="3600"/>
        <w:gridCol w:w="450"/>
        <w:gridCol w:w="900"/>
        <w:gridCol w:w="3708"/>
      </w:tblGrid>
      <w:tr>
        <w:trPr/>
        <w:tc>
          <w:tcPr>
            <w:tcW w:w="4518" w:type="dxa"/>
            <w:gridSpan w:val="2"/>
            <w:tcBorders/>
          </w:tcPr>
          <w:p>
            <w:pPr>
              <w:pStyle w:val="Normal"/>
              <w:widowControl w:val="false"/>
              <w:jc w:val="both"/>
              <w:rPr>
                <w:rFonts w:ascii="Arial" w:hAnsi="Arial" w:cs="Arial"/>
                <w:sz w:val="22"/>
                <w:szCs w:val="22"/>
              </w:rPr>
            </w:pPr>
            <w:r>
              <w:rPr>
                <w:rFonts w:cs="Arial" w:ascii="Arial" w:hAnsi="Arial"/>
                <w:b/>
                <w:bCs/>
                <w:sz w:val="22"/>
                <w:szCs w:val="22"/>
              </w:rPr>
              <w:t>El Paso Merchant Energy, L.P.</w:t>
            </w:r>
          </w:p>
        </w:tc>
        <w:tc>
          <w:tcPr>
            <w:tcW w:w="45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4608" w:type="dxa"/>
            <w:gridSpan w:val="2"/>
            <w:tcBorders/>
          </w:tcPr>
          <w:p>
            <w:pPr>
              <w:pStyle w:val="Normal"/>
              <w:widowControl w:val="false"/>
              <w:jc w:val="both"/>
              <w:rPr>
                <w:rFonts w:ascii="Arial" w:hAnsi="Arial" w:cs="Arial"/>
                <w:b/>
                <w:bCs/>
                <w:sz w:val="22"/>
                <w:szCs w:val="22"/>
              </w:rPr>
            </w:pPr>
            <w:r>
              <w:rPr>
                <w:rFonts w:cs="Arial" w:ascii="Arial" w:hAnsi="Arial"/>
                <w:b/>
                <w:bCs/>
                <w:sz w:val="22"/>
                <w:szCs w:val="22"/>
              </w:rPr>
              <w:t>Enron North America Corp.</w:t>
            </w:r>
          </w:p>
        </w:tc>
      </w:tr>
      <w:tr>
        <w:trPr/>
        <w:tc>
          <w:tcPr>
            <w:tcW w:w="4518" w:type="dxa"/>
            <w:gridSpan w:val="2"/>
            <w:tcBorders/>
          </w:tcPr>
          <w:p>
            <w:pPr>
              <w:pStyle w:val="Normal"/>
              <w:widowControl w:val="false"/>
              <w:snapToGrid w:val="false"/>
              <w:jc w:val="both"/>
              <w:rPr>
                <w:rFonts w:ascii="Arial" w:hAnsi="Arial" w:cs="Arial"/>
                <w:b/>
                <w:bCs/>
                <w:color w:val="FF0000"/>
                <w:sz w:val="22"/>
                <w:szCs w:val="22"/>
              </w:rPr>
            </w:pPr>
            <w:r>
              <w:rPr>
                <w:rFonts w:cs="Arial" w:ascii="Arial" w:hAnsi="Arial"/>
                <w:b/>
                <w:bCs/>
                <w:color w:val="FF0000"/>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608" w:type="dxa"/>
            <w:gridSpan w:val="2"/>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By:</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By:</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Name:</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Name:</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Title:</w:t>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Title:</w:t>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b/>
                <w:bCs/>
                <w:sz w:val="22"/>
                <w:szCs w:val="22"/>
              </w:rPr>
            </w:pPr>
            <w:r>
              <w:rPr>
                <w:rFonts w:cs="Arial" w:ascii="Arial" w:hAnsi="Arial"/>
                <w:b/>
                <w:bCs/>
                <w:sz w:val="18"/>
                <w:szCs w:val="22"/>
              </w:rPr>
              <w:t>Federal</w:t>
            </w:r>
            <w:r>
              <w:rPr>
                <w:rFonts w:cs="Arial" w:ascii="Arial" w:hAnsi="Arial"/>
                <w:b/>
                <w:bCs/>
                <w:sz w:val="22"/>
                <w:szCs w:val="22"/>
              </w:rPr>
              <w:t xml:space="preserve"> </w:t>
            </w:r>
            <w:r>
              <w:rPr>
                <w:rFonts w:cs="Arial" w:ascii="Arial" w:hAnsi="Arial"/>
                <w:b/>
                <w:bCs/>
                <w:sz w:val="18"/>
                <w:szCs w:val="22"/>
              </w:rPr>
              <w:t>Tax ID#</w:t>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b/>
                <w:sz w:val="18"/>
                <w:szCs w:val="22"/>
              </w:rPr>
            </w:pPr>
            <w:r>
              <w:rPr>
                <w:rFonts w:cs="Arial" w:ascii="Arial" w:hAnsi="Arial"/>
                <w:b/>
                <w:sz w:val="18"/>
                <w:szCs w:val="22"/>
              </w:rPr>
              <w:t>Federal Tax ID#</w:t>
            </w:r>
          </w:p>
        </w:tc>
        <w:tc>
          <w:tcPr>
            <w:tcW w:w="3708" w:type="dxa"/>
            <w:tcBorders/>
          </w:tcPr>
          <w:p>
            <w:pPr>
              <w:pStyle w:val="Normal"/>
              <w:widowControl w:val="false"/>
              <w:snapToGrid w:val="false"/>
              <w:jc w:val="both"/>
              <w:rPr>
                <w:rFonts w:ascii="Arial" w:hAnsi="Arial" w:cs="Arial"/>
                <w:b/>
                <w:sz w:val="22"/>
                <w:szCs w:val="22"/>
              </w:rPr>
            </w:pPr>
            <w:r>
              <w:rPr>
                <w:rFonts w:cs="Arial" w:ascii="Arial" w:hAnsi="Arial"/>
                <w:b/>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Duns #</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Duns #</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Normal"/>
        <w:jc w:val="both"/>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9"/>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7"/>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widowControl w:val="false"/>
      <w:ind w:firstLine="720" w:start="0" w:end="0"/>
      <w:jc w:val="center"/>
    </w:pPr>
    <w:rPr>
      <w:rFonts w:ascii="Arial" w:hAnsi="Arial" w:cs="Arial"/>
      <w:b/>
      <w:bCs/>
      <w:sz w:val="22"/>
      <w:szCs w:val="22"/>
      <w:u w:val="single"/>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Arial" w:hAnsi="Arial" w:cs="Arial"/>
      <w:spacing w:val="-4"/>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3">
    <w:name w:val="Body Text 3"/>
    <w:basedOn w:val="Normal"/>
    <w:qFormat/>
    <w:pPr>
      <w:widowControl w:val="false"/>
      <w:tabs>
        <w:tab w:val="clear" w:pos="720"/>
        <w:tab w:val="left" w:pos="1440" w:leader="none"/>
        <w:tab w:val="left" w:pos="8640" w:leader="none"/>
      </w:tabs>
      <w:autoSpaceDE w:val="false"/>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2002-01-10T15:34:00Z</dcterms:created>
  <dc:creator>Chuck R. Brown</dc:creator>
  <dc:description/>
  <dc:language>en-CA</dc:language>
  <cp:lastModifiedBy>El Paso Global Marketing</cp:lastModifiedBy>
  <cp:lastPrinted>2002-01-09T11:01:00Z</cp:lastPrinted>
  <dcterms:modified xsi:type="dcterms:W3CDTF">2002-01-10T15:34:00Z</dcterms:modified>
  <cp:revision>2</cp:revision>
  <dc:subject/>
  <dc:title>NATURAL GAS INVENTORY TRANSFER AND SALE AGREEMENT</dc:title>
</cp:coreProperties>
</file>