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pPr>
      <w:r>
        <w:rPr/>
        <w:t>DRAFT OF 03/15/00</w:t>
      </w:r>
    </w:p>
    <w:p>
      <w:pPr>
        <w:pStyle w:val="Normal"/>
        <w:jc w:val="end"/>
        <w:rPr>
          <w:b/>
          <w:sz w:val="22"/>
        </w:rPr>
      </w:pPr>
      <w:r>
        <w:rPr>
          <w:b/>
          <w:sz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sz w:val="22"/>
        </w:rPr>
      </w:pPr>
      <w:r>
        <w:rPr>
          <w:b/>
          <w:sz w:val="22"/>
        </w:rPr>
        <w:t>dated as of _________________, 2000</w:t>
      </w:r>
    </w:p>
    <w:p>
      <w:pPr>
        <w:pStyle w:val="Norma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color w:val="808000"/>
                <w:sz w:val="22"/>
              </w:rPr>
            </w:pPr>
            <w:r>
              <w:rPr>
                <w:b/>
                <w:sz w:val="22"/>
              </w:rPr>
              <w:t>KAISER ALUMINUM &amp; CHEMICAL CORPORATION, a corporation organized under the law of the State of Delaware (“Party B”)</w:t>
            </w:r>
          </w:p>
        </w:tc>
      </w:tr>
    </w:tbl>
    <w:p>
      <w:pPr>
        <w:pStyle w:val="Normal"/>
        <w:spacing w:before="480" w:after="0"/>
        <w:jc w:val="both"/>
        <w:rPr/>
      </w:pPr>
      <w:r>
        <w:rPr>
          <w:b/>
          <w:sz w:val="22"/>
        </w:rPr>
        <w:t>Part 1.</w:t>
      </w:r>
      <w:r>
        <w:rPr>
          <w:sz w:val="22"/>
        </w:rPr>
        <w:t xml:space="preserve"> </w:t>
      </w:r>
      <w:r>
        <w:rPr>
          <w:b/>
          <w:sz w:val="22"/>
        </w:rPr>
        <w:t>Termination Provisions.</w:t>
      </w:r>
    </w:p>
    <w:p>
      <w:pPr>
        <w:pStyle w:val="Normal"/>
        <w:spacing w:lineRule="exact" w:line="240" w:before="240" w:after="0"/>
        <w:ind w:firstLine="720" w:end="0"/>
        <w:jc w:val="both"/>
        <w:rPr/>
      </w:pPr>
      <w:r>
        <w:rPr>
          <w:sz w:val="22"/>
        </w:rPr>
        <w:t>(a)</w:t>
        <w:tab/>
      </w:r>
      <w:r>
        <w:rPr>
          <w:b/>
          <w:sz w:val="22"/>
        </w:rPr>
        <w:t>“Specified Entity”</w:t>
      </w:r>
      <w:r>
        <w:rPr>
          <w:sz w:val="22"/>
        </w:rPr>
        <w:t xml:space="preserve"> means in relation to Party A, none; and in relation to Party B, none.</w:t>
      </w:r>
    </w:p>
    <w:p>
      <w:pPr>
        <w:pStyle w:val="Normal"/>
        <w:spacing w:lineRule="exact" w:line="240" w:before="240" w:after="0"/>
        <w:ind w:firstLine="720" w:end="0"/>
        <w:jc w:val="both"/>
        <w:rPr/>
      </w:pPr>
      <w:r>
        <w:rPr>
          <w:sz w:val="22"/>
        </w:rPr>
        <w:t>(b)</w:t>
        <w:tab/>
        <w:t>The “</w:t>
      </w:r>
      <w:r>
        <w:rPr>
          <w:b/>
          <w:sz w:val="22"/>
        </w:rPr>
        <w:t>Cross Default”</w:t>
      </w:r>
      <w:r>
        <w:rPr>
          <w:sz w:val="22"/>
        </w:rPr>
        <w:t xml:space="preserve"> provisions of Section 5(a)(vi) will apply to Party A, and will apply to Party B.</w:t>
      </w:r>
    </w:p>
    <w:p>
      <w:pPr>
        <w:pStyle w:val="Normal"/>
        <w:spacing w:lineRule="exact" w:line="240" w:before="240" w:after="0"/>
        <w:ind w:start="360" w:end="0"/>
        <w:jc w:val="both"/>
        <w:rPr>
          <w:sz w:val="22"/>
        </w:rPr>
      </w:pPr>
      <w:r>
        <w:rPr>
          <w:b/>
          <w:sz w:val="22"/>
        </w:rPr>
        <w:t>“</w:t>
      </w:r>
      <w:r>
        <w:rPr>
          <w:b/>
          <w:sz w:val="22"/>
        </w:rPr>
        <w:t>Threshold Amount”</w:t>
      </w:r>
      <w:r>
        <w:rPr>
          <w:sz w:val="22"/>
        </w:rPr>
        <w:t xml:space="preserve"> means:  with respect to Party A, U.S. $100,000,000 (or its equivalent in another currency); with respect to Party A’s Credit Support Provider, U.S. $100,000,000 (or its equivalent in another currency); and with respect to Party B, U.S. $20,000,000 (or its equivalent in another currency</w:t>
      </w:r>
      <w:r>
        <w:rPr>
          <w:color w:val="000000"/>
          <w:sz w:val="22"/>
        </w:rPr>
        <w:t xml:space="preserve">); </w:t>
      </w:r>
      <w:r>
        <w:rPr>
          <w:color w:val="000000"/>
          <w:sz w:val="22"/>
          <w:u w:val="single"/>
        </w:rPr>
        <w:t>provided</w:t>
      </w:r>
      <w:r>
        <w:rPr>
          <w:color w:val="000000"/>
          <w:sz w:val="22"/>
        </w:rPr>
        <w:t xml:space="preserve">, </w:t>
      </w:r>
      <w:r>
        <w:rPr>
          <w:color w:val="000000"/>
          <w:sz w:val="22"/>
          <w:u w:val="single"/>
        </w:rPr>
        <w:t>that</w:t>
      </w:r>
      <w:r>
        <w:rPr>
          <w:color w:val="000000"/>
          <w:sz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sz w:val="22"/>
        </w:rPr>
        <w:t>(c)</w:t>
        <w:tab/>
        <w:t xml:space="preserve">The </w:t>
      </w:r>
      <w:r>
        <w:rPr>
          <w:b/>
          <w:sz w:val="22"/>
        </w:rPr>
        <w:t>“Credit Event Upon Merger”</w:t>
      </w:r>
      <w:r>
        <w:rPr>
          <w:sz w:val="22"/>
        </w:rPr>
        <w:t xml:space="preserve"> provisions of Section 5(b)(iv) as amended below will apply to Party A and to Party B.</w:t>
      </w:r>
    </w:p>
    <w:p>
      <w:pPr>
        <w:pStyle w:val="Normal"/>
        <w:spacing w:lineRule="exact" w:line="240" w:before="240" w:after="0"/>
        <w:ind w:firstLine="720" w:end="0"/>
        <w:jc w:val="both"/>
        <w:rPr/>
      </w:pPr>
      <w:r>
        <w:rPr>
          <w:sz w:val="22"/>
        </w:rPr>
        <w:t>(d)</w:t>
        <w:tab/>
        <w:t xml:space="preserve">The </w:t>
      </w:r>
      <w:r>
        <w:rPr>
          <w:b/>
          <w:sz w:val="22"/>
        </w:rPr>
        <w:t>“Automatic Early Termination”</w:t>
      </w:r>
      <w:r>
        <w:rPr>
          <w:sz w:val="22"/>
        </w:rPr>
        <w:t xml:space="preserve"> provision of Section 6(a) will not apply to Party A or to Party B.</w:t>
      </w:r>
    </w:p>
    <w:p>
      <w:pPr>
        <w:pStyle w:val="Normal"/>
        <w:spacing w:lineRule="exact" w:line="240" w:before="240" w:after="0"/>
        <w:ind w:firstLine="720" w:end="0"/>
        <w:jc w:val="both"/>
        <w:rPr/>
      </w:pPr>
      <w:r>
        <w:rPr>
          <w:sz w:val="22"/>
        </w:rPr>
        <w:t>(e)</w:t>
        <w:tab/>
      </w:r>
      <w:r>
        <w:rPr>
          <w:b/>
          <w:sz w:val="22"/>
        </w:rPr>
        <w:t>Payments on Early Termination.</w:t>
      </w:r>
      <w:r>
        <w:rPr>
          <w:sz w:val="22"/>
        </w:rPr>
        <w:t xml:space="preserve">  For the purpose of Section 6(e):  (i) Loss will apply, and (ii) the Second Method will apply.</w:t>
      </w:r>
    </w:p>
    <w:p>
      <w:pPr>
        <w:pStyle w:val="Normal"/>
        <w:spacing w:lineRule="exact" w:line="240" w:before="240" w:after="0"/>
        <w:ind w:firstLine="720" w:end="0"/>
        <w:jc w:val="both"/>
        <w:rPr/>
      </w:pPr>
      <w:r>
        <w:rPr>
          <w:sz w:val="22"/>
        </w:rPr>
        <w:t>(f)</w:t>
        <w:tab/>
      </w:r>
      <w:r>
        <w:rPr>
          <w:b/>
          <w:sz w:val="22"/>
        </w:rPr>
        <w:t>“Termination Currency”</w:t>
      </w:r>
      <w:r>
        <w:rPr>
          <w:sz w:val="22"/>
        </w:rPr>
        <w:t xml:space="preserve"> means United States Dollars.</w:t>
      </w:r>
    </w:p>
    <w:p>
      <w:pPr>
        <w:pStyle w:val="Normal"/>
        <w:spacing w:lineRule="exact" w:line="240" w:before="240" w:after="0"/>
        <w:ind w:firstLine="720" w:end="0"/>
        <w:jc w:val="both"/>
        <w:rPr/>
      </w:pPr>
      <w:r>
        <w:rPr>
          <w:sz w:val="22"/>
        </w:rPr>
        <w:t>(g)</w:t>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w:t>
      </w:r>
    </w:p>
    <w:p>
      <w:pPr>
        <w:pStyle w:val="Normal"/>
        <w:spacing w:lineRule="exact" w:line="240" w:before="480" w:after="0"/>
        <w:jc w:val="both"/>
        <w:rPr>
          <w:b/>
          <w:sz w:val="22"/>
        </w:rPr>
      </w:pPr>
      <w:r>
        <w:rPr>
          <w:b/>
          <w:sz w:val="22"/>
        </w:rPr>
        <w:t>Part 2.  Tax Representations.</w:t>
      </w:r>
    </w:p>
    <w:p>
      <w:pPr>
        <w:pStyle w:val="Normal"/>
        <w:spacing w:lineRule="exact" w:line="240" w:before="240" w:after="0"/>
        <w:ind w:hanging="720" w:start="720" w:end="0"/>
        <w:jc w:val="both"/>
        <w:rPr/>
      </w:pPr>
      <w:r>
        <w:rPr>
          <w:b/>
          <w:sz w:val="22"/>
        </w:rPr>
        <w:t>(a)</w:t>
        <w:tab/>
        <w:t xml:space="preserve">Payer Representations.  </w:t>
      </w:r>
      <w:r>
        <w:rPr>
          <w:sz w:val="22"/>
        </w:rPr>
        <w:t>For the purpose of Section 3(e), Party A and Party B make the following representation:</w:t>
      </w:r>
    </w:p>
    <w:p>
      <w:pPr>
        <w:pStyle w:val="Norma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sz w:val="22"/>
        </w:rPr>
        <w:t>(b)</w:t>
        <w:tab/>
        <w:t>Payee Representations.</w:t>
      </w:r>
      <w:r>
        <w:rPr>
          <w:sz w:val="22"/>
        </w:rPr>
        <w:t xml:space="preserve">  For the purpose of Section 3(f), Party A and Party B make the following representations:</w:t>
      </w:r>
    </w:p>
    <w:p>
      <w:pPr>
        <w:pStyle w:val="Normal"/>
        <w:spacing w:lineRule="exact" w:line="240" w:before="240" w:after="0"/>
        <w:ind w:hanging="720" w:start="900" w:end="0"/>
        <w:jc w:val="both"/>
        <w:rPr>
          <w:sz w:val="22"/>
        </w:rPr>
      </w:pPr>
      <w:r>
        <w:rPr>
          <w:sz w:val="22"/>
        </w:rPr>
        <w:t>(i)</w:t>
        <w:tab/>
        <w:t>The following representation applies to Party A:</w:t>
      </w:r>
    </w:p>
    <w:p>
      <w:pPr>
        <w:pStyle w:val="Normal"/>
        <w:spacing w:lineRule="exact" w:line="240" w:before="240" w:after="0"/>
        <w:ind w:start="900" w:end="0"/>
        <w:jc w:val="both"/>
        <w:rPr>
          <w:sz w:val="22"/>
        </w:rPr>
      </w:pPr>
      <w:r>
        <w:rPr>
          <w:sz w:val="22"/>
        </w:rPr>
        <w:t>Party A is a corporation organized under the laws of the State of Delaware.</w:t>
      </w:r>
    </w:p>
    <w:p>
      <w:pPr>
        <w:pStyle w:val="Normal"/>
        <w:spacing w:lineRule="exact" w:line="240" w:before="240" w:after="0"/>
        <w:ind w:hanging="720" w:start="900" w:end="0"/>
        <w:jc w:val="both"/>
        <w:rPr>
          <w:sz w:val="22"/>
        </w:rPr>
      </w:pPr>
      <w:r>
        <w:rPr>
          <w:sz w:val="22"/>
        </w:rPr>
        <w:t>(ii)</w:t>
        <w:tab/>
        <w:t>The following representation applies to Party B:</w:t>
      </w:r>
    </w:p>
    <w:p>
      <w:pPr>
        <w:pStyle w:val="Normal"/>
        <w:spacing w:lineRule="exact" w:line="240" w:before="240" w:after="0"/>
        <w:ind w:start="900" w:end="0"/>
        <w:jc w:val="both"/>
        <w:rPr>
          <w:sz w:val="22"/>
        </w:rPr>
      </w:pPr>
      <w:r>
        <w:rPr>
          <w:sz w:val="22"/>
        </w:rPr>
        <w:t>Party B is a corporation organized under the laws of the State of Delaware.</w:t>
      </w:r>
    </w:p>
    <w:p>
      <w:pPr>
        <w:pStyle w:val="Normal"/>
        <w:spacing w:lineRule="exact" w:line="240" w:before="480" w:after="0"/>
        <w:jc w:val="both"/>
        <w:rPr>
          <w:sz w:val="22"/>
        </w:rPr>
      </w:pPr>
      <w:r>
        <w:rPr>
          <w:b/>
          <w:sz w:val="22"/>
        </w:rPr>
        <w:t>Part 3.  Agreement to Deliver Documents.</w:t>
      </w:r>
    </w:p>
    <w:p>
      <w:pPr>
        <w:pStyle w:val="Normal"/>
        <w:spacing w:lineRule="exact" w:line="240" w:before="240" w:after="0"/>
        <w:ind w:firstLine="720" w:end="0"/>
        <w:jc w:val="both"/>
        <w:rPr>
          <w:color w:val="000000"/>
          <w:sz w:val="22"/>
        </w:rPr>
      </w:pPr>
      <w:r>
        <w:rPr>
          <w:sz w:val="22"/>
        </w:rPr>
        <w:t>For the purpose of Section 4(a), each party agrees to deliver the following documents, as applicable:</w:t>
      </w:r>
    </w:p>
    <w:p>
      <w:pPr>
        <w:pStyle w:val="Normal"/>
        <w:spacing w:lineRule="exact" w:line="240" w:before="240" w:after="0"/>
        <w:ind w:firstLine="720" w:end="0"/>
        <w:jc w:val="both"/>
        <w:rPr>
          <w:sz w:val="22"/>
        </w:rPr>
      </w:pPr>
      <w:r>
        <w:rPr>
          <w:sz w:val="22"/>
        </w:rPr>
        <w:t>(a)</w:t>
        <w:tab/>
        <w:t>Tax forms, documents, or certificates to be delivered are:  None.</w:t>
      </w:r>
    </w:p>
    <w:p>
      <w:pPr>
        <w:pStyle w:val="Normal"/>
        <w:spacing w:lineRule="exact" w:line="240" w:before="240" w:after="0"/>
        <w:ind w:firstLine="720" w:end="0"/>
        <w:jc w:val="both"/>
        <w:rPr/>
      </w:pPr>
      <w:r>
        <w:rPr/>
        <w:t>(b)</w:t>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spacing w:lineRule="atLeast" w:line="240" w:before="240" w:after="0"/>
              <w:rPr>
                <w:sz w:val="22"/>
              </w:rPr>
            </w:pPr>
            <w:r>
              <w:rPr>
                <w:b/>
                <w:sz w:val="22"/>
              </w:rPr>
              <w:t>Party required to deliver document</w:t>
            </w:r>
          </w:p>
        </w:tc>
        <w:tc>
          <w:tcPr>
            <w:tcW w:w="4104" w:type="dxa"/>
            <w:tcBorders/>
          </w:tcPr>
          <w:p>
            <w:pPr>
              <w:pStyle w:val="Normal"/>
              <w:spacing w:lineRule="atLeast" w:line="240" w:before="240" w:after="0"/>
              <w:rPr>
                <w:sz w:val="22"/>
                <w:u w:val="single"/>
              </w:rPr>
            </w:pPr>
            <w:r>
              <w:rPr>
                <w:b/>
                <w:sz w:val="22"/>
              </w:rPr>
              <w:t>Form/Document/Certificate</w:t>
            </w:r>
          </w:p>
        </w:tc>
        <w:tc>
          <w:tcPr>
            <w:tcW w:w="2340" w:type="dxa"/>
            <w:tcBorders/>
          </w:tcPr>
          <w:p>
            <w:pPr>
              <w:pStyle w:val="Normal"/>
              <w:spacing w:lineRule="atLeast" w:line="240" w:before="240" w:after="0"/>
              <w:rPr>
                <w:sz w:val="22"/>
              </w:rPr>
            </w:pPr>
            <w:r>
              <w:rPr>
                <w:b/>
                <w:sz w:val="22"/>
              </w:rPr>
              <w:t>Date by which to be delivered</w:t>
            </w:r>
          </w:p>
        </w:tc>
        <w:tc>
          <w:tcPr>
            <w:tcW w:w="1926" w:type="dxa"/>
            <w:tcBorders/>
          </w:tcPr>
          <w:p>
            <w:pPr>
              <w:pStyle w:val="Normal"/>
              <w:spacing w:lineRule="atLeast" w:line="240" w:before="240" w:after="0"/>
              <w:rPr>
                <w:sz w:val="22"/>
              </w:rPr>
            </w:pPr>
            <w:r>
              <w:rPr>
                <w:b/>
                <w:sz w:val="22"/>
              </w:rPr>
              <w:t>Covered by Section 3(d) Representation</w:t>
              <w:br/>
            </w:r>
          </w:p>
        </w:tc>
      </w:tr>
      <w:tr>
        <w:trPr/>
        <w:tc>
          <w:tcPr>
            <w:tcW w:w="1926" w:type="dxa"/>
            <w:tcBorders/>
          </w:tcPr>
          <w:p>
            <w:pPr>
              <w:pStyle w:val="Normal"/>
              <w:spacing w:lineRule="atLeast" w:line="240" w:before="240" w:after="0"/>
              <w:jc w:val="both"/>
              <w:rPr>
                <w:b/>
                <w:sz w:val="22"/>
              </w:rPr>
            </w:pPr>
            <w:r>
              <w:rPr>
                <w:sz w:val="22"/>
              </w:rPr>
              <w:t>Party A</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Duly executed Credit Support Document specified in Part 4(d)</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Annual Audited Consolidated Financial Statement of Party A’s Credit Support Provider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120 days after the end of each of its fiscal years</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Quarterly Unaudited Consolidated Financial Statement of Party A’s Credit Support Provider</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Annual Audited Consolidated Financial Statement of Party B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earlier than 120 days after the end of each of its fiscal years</w:t>
            </w:r>
          </w:p>
        </w:tc>
        <w:tc>
          <w:tcPr>
            <w:tcW w:w="192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Quarterly Unaudited Consolidated Financial Statement of Party B</w:t>
            </w:r>
          </w:p>
        </w:tc>
        <w:tc>
          <w:tcPr>
            <w:tcW w:w="2340" w:type="dxa"/>
            <w:tcBorders/>
          </w:tcPr>
          <w:p>
            <w:pPr>
              <w:pStyle w:val="Normal"/>
              <w:spacing w:lineRule="atLeast" w:line="240" w:before="240" w:after="0"/>
              <w:jc w:val="both"/>
              <w:rPr>
                <w:sz w:val="22"/>
              </w:rPr>
            </w:pPr>
            <w:r>
              <w:rPr>
                <w:sz w:val="22"/>
              </w:rPr>
              <w:t>Promptly following demand by Party A,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sz w:val="22"/>
              </w:rPr>
            </w:pPr>
            <w:r>
              <w:rPr>
                <w:sz w:val="22"/>
              </w:rPr>
              <w:t>Yes</w:t>
            </w:r>
          </w:p>
        </w:tc>
      </w:tr>
    </w:tbl>
    <w:p>
      <w:pPr>
        <w:pStyle w:val="Normal"/>
        <w:spacing w:lineRule="exact" w:line="240" w:before="480" w:after="0"/>
        <w:jc w:val="both"/>
        <w:rPr>
          <w:b/>
          <w:sz w:val="22"/>
        </w:rPr>
      </w:pPr>
      <w:r>
        <w:rPr>
          <w:b/>
          <w:sz w:val="22"/>
        </w:rPr>
        <w:t>Part 4.  Miscellaneous.</w:t>
      </w:r>
    </w:p>
    <w:p>
      <w:pPr>
        <w:pStyle w:val="Normal"/>
        <w:spacing w:lineRule="exact" w:line="240" w:before="240" w:after="0"/>
        <w:ind w:firstLine="720" w:end="0"/>
        <w:jc w:val="both"/>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rPr>
      </w:pPr>
      <w:r>
        <w:rPr>
          <w:sz w:val="22"/>
        </w:rPr>
        <w:t>Address for notices or communications to Party A:</w:t>
      </w:r>
    </w:p>
    <w:p>
      <w:pPr>
        <w:pStyle w:val="Normal"/>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tabs>
                <w:tab w:val="left" w:pos="720" w:leader="none"/>
                <w:tab w:val="right" w:pos="9360" w:leader="dot"/>
              </w:tabs>
              <w:spacing w:lineRule="exact" w:line="240"/>
              <w:jc w:val="both"/>
              <w:rPr>
                <w:sz w:val="22"/>
              </w:rPr>
            </w:pPr>
            <w:r>
              <w:rPr>
                <w:sz w:val="22"/>
              </w:rPr>
            </w:r>
          </w:p>
        </w:tc>
        <w:tc>
          <w:tcPr>
            <w:tcW w:w="4140" w:type="dxa"/>
            <w:tcBorders/>
          </w:tcPr>
          <w:p>
            <w:pPr>
              <w:pStyle w:val="Normal"/>
              <w:tabs>
                <w:tab w:val="clear" w:pos="720"/>
                <w:tab w:val="left" w:pos="4230" w:leader="none"/>
                <w:tab w:val="left" w:pos="9360" w:leader="none"/>
              </w:tabs>
              <w:spacing w:lineRule="exact" w:line="240"/>
              <w:jc w:val="both"/>
              <w:rPr>
                <w:sz w:val="22"/>
              </w:rPr>
            </w:pPr>
            <w:r>
              <w:rPr>
                <w:sz w:val="22"/>
              </w:rPr>
              <w:t>Enron North America Corp.</w:t>
            </w:r>
          </w:p>
          <w:p>
            <w:pPr>
              <w:pStyle w:val="Normal"/>
              <w:tabs>
                <w:tab w:val="clear" w:pos="720"/>
                <w:tab w:val="left" w:pos="4230" w:leader="none"/>
                <w:tab w:val="left" w:pos="9360" w:leader="none"/>
              </w:tabs>
              <w:spacing w:lineRule="exact" w:line="240"/>
              <w:jc w:val="both"/>
              <w:rPr>
                <w:sz w:val="22"/>
              </w:rPr>
            </w:pPr>
            <w:r>
              <w:rPr>
                <w:sz w:val="22"/>
              </w:rPr>
              <w:t>P.O. Box 4428</w:t>
            </w:r>
          </w:p>
          <w:p>
            <w:pPr>
              <w:pStyle w:val="Normal"/>
              <w:tabs>
                <w:tab w:val="clear" w:pos="720"/>
                <w:tab w:val="left" w:pos="4230" w:leader="none"/>
                <w:tab w:val="left" w:pos="9360" w:leader="none"/>
              </w:tabs>
              <w:spacing w:lineRule="exact" w:line="240"/>
              <w:jc w:val="both"/>
              <w:rPr>
                <w:sz w:val="22"/>
              </w:rPr>
            </w:pPr>
            <w:r>
              <w:rPr>
                <w:sz w:val="22"/>
              </w:rPr>
              <w:t>Houston, Texas  77210-4428</w:t>
            </w:r>
          </w:p>
          <w:p>
            <w:pPr>
              <w:pStyle w:val="Normal"/>
              <w:tabs>
                <w:tab w:val="clear" w:pos="720"/>
                <w:tab w:val="left" w:pos="4230" w:leader="none"/>
                <w:tab w:val="left" w:pos="9360" w:leader="none"/>
              </w:tabs>
              <w:spacing w:lineRule="exact" w:line="240"/>
              <w:jc w:val="both"/>
              <w:rPr>
                <w:sz w:val="22"/>
              </w:rPr>
            </w:pPr>
            <w:r>
              <w:rPr>
                <w:sz w:val="22"/>
              </w:rPr>
              <w:t>1400 Smith Street</w:t>
            </w:r>
          </w:p>
          <w:p>
            <w:pPr>
              <w:pStyle w:val="Normal"/>
              <w:tabs>
                <w:tab w:val="clear" w:pos="720"/>
                <w:tab w:val="left" w:pos="4230" w:leader="none"/>
                <w:tab w:val="left" w:pos="9360" w:leader="none"/>
              </w:tabs>
              <w:spacing w:lineRule="exact" w:line="240"/>
              <w:jc w:val="both"/>
              <w:rPr>
                <w:sz w:val="22"/>
              </w:rPr>
            </w:pPr>
            <w:r>
              <w:rPr>
                <w:sz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tabs>
          <w:tab w:val="clear" w:pos="720"/>
          <w:tab w:val="right" w:pos="9360" w:leader="dot"/>
        </w:tabs>
        <w:spacing w:lineRule="exact" w:line="240" w:before="240" w:after="0"/>
        <w:jc w:val="both"/>
        <w:rPr/>
      </w:pPr>
      <w:r>
        <w:rPr>
          <w:sz w:val="22"/>
        </w:rPr>
        <w:t xml:space="preserve">A copy of any notice sent to Party A pursuant to Section 5 or 6 or </w:t>
      </w:r>
      <w:r>
        <w:rPr>
          <w:sz w:val="22"/>
          <w:u w:val="single"/>
        </w:rPr>
        <w:t>Annex A</w:t>
      </w:r>
      <w:r>
        <w:rPr>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rPr>
      </w:pPr>
      <w:r>
        <w:rPr>
          <w:sz w:val="22"/>
        </w:rPr>
      </w:r>
    </w:p>
    <w:p>
      <w:pPr>
        <w:pStyle w:val="Normal"/>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 xml:space="preserve">Facsimile No.:  </w:t>
            </w:r>
            <w:r>
              <w:rPr>
                <w:sz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 xml:space="preserve">Telephone No.:  </w:t>
            </w:r>
            <w:r>
              <w:rPr>
                <w:sz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rPr>
        <w:t>(c)</w:t>
        <w:tab/>
      </w:r>
      <w:r>
        <w:rPr>
          <w:b/>
          <w:sz w:val="22"/>
        </w:rPr>
        <w:t>Calculation Agent.</w:t>
      </w:r>
      <w:r>
        <w:rPr>
          <w:sz w:val="22"/>
        </w:rPr>
        <w:t xml:space="preserve">  The Calculation Agent is Party A.</w:t>
      </w:r>
    </w:p>
    <w:p>
      <w:pPr>
        <w:pStyle w:val="Norma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u w:val="single"/>
        </w:rPr>
        <w:t>Exhibit A</w:t>
      </w:r>
      <w:r>
        <w:rPr>
          <w:sz w:val="22"/>
        </w:rPr>
        <w:t xml:space="preserve">, and (ii) ISDA Credit Support Annex attached hereto as </w:t>
      </w:r>
      <w:r>
        <w:rPr>
          <w:sz w:val="22"/>
          <w:u w:val="single"/>
        </w:rPr>
        <w:t>Annex A</w:t>
      </w:r>
      <w:r>
        <w:rPr>
          <w:sz w:val="22"/>
        </w:rPr>
        <w:t>.</w:t>
      </w:r>
    </w:p>
    <w:p>
      <w:pPr>
        <w:pStyle w:val="Normal"/>
        <w:spacing w:lineRule="exact" w:line="240" w:before="240" w:after="0"/>
        <w:ind w:firstLine="720" w:end="0"/>
        <w:jc w:val="both"/>
        <w:rPr/>
      </w:pPr>
      <w:r>
        <w:rPr>
          <w:sz w:val="22"/>
        </w:rPr>
        <w:t>(e)</w:t>
      </w:r>
      <w:r>
        <w:rPr>
          <w:b/>
          <w:sz w:val="22"/>
        </w:rPr>
        <w:tab/>
        <w:t>Credit Support Provider.</w:t>
      </w:r>
      <w:r>
        <w:rPr>
          <w:sz w:val="22"/>
        </w:rPr>
        <w:t xml:space="preserve">  (i) Credit Support Provider means in relation to Party A, Enron Corp., and (ii) Credit Support Provider means in relation to Party B, none. </w:t>
      </w:r>
    </w:p>
    <w:p>
      <w:pPr>
        <w:pStyle w:val="Normal"/>
        <w:numPr>
          <w:ilvl w:val="0"/>
          <w:numId w:val="2"/>
        </w:numPr>
        <w:spacing w:lineRule="exact" w:line="240" w:before="240" w:after="0"/>
        <w:jc w:val="both"/>
        <w:rPr>
          <w:sz w:val="22"/>
        </w:rPr>
      </w:pPr>
      <w:r>
        <w:rPr>
          <w:b/>
          <w:sz w:val="22"/>
        </w:rPr>
        <w:t>Netting of Payments.</w:t>
      </w:r>
      <w:r>
        <w:rPr>
          <w:sz w:val="22"/>
        </w:rPr>
        <w:t xml:space="preserve">  Section 2(c)(ii) will not apply to all Transactions.</w:t>
      </w:r>
    </w:p>
    <w:p>
      <w:pPr>
        <w:pStyle w:val="Normal"/>
        <w:spacing w:lineRule="exact" w:line="240" w:before="240" w:after="0"/>
        <w:ind w:firstLine="720" w:end="0"/>
        <w:jc w:val="both"/>
        <w:rPr/>
      </w:pPr>
      <w:r>
        <w:rPr>
          <w:sz w:val="22"/>
        </w:rPr>
        <w:t>(g)</w:t>
        <w:tab/>
      </w:r>
      <w:r>
        <w:rPr>
          <w:b/>
          <w:sz w:val="22"/>
        </w:rPr>
        <w:t>Governing Law.  This Agreement and each Confirmation will be governed by, and construed, interpreted, and enforced in accordance with, the substantive law of the State of Texas (without reference to its choice of law doctrine).</w:t>
      </w:r>
    </w:p>
    <w:p>
      <w:pPr>
        <w:pStyle w:val="Normal"/>
        <w:spacing w:lineRule="exact" w:line="240" w:before="240" w:after="0"/>
        <w:ind w:firstLine="720" w:end="0"/>
        <w:jc w:val="both"/>
        <w:rPr/>
      </w:pPr>
      <w:r>
        <w:rPr>
          <w:sz w:val="22"/>
        </w:rPr>
        <w:t>(h)</w:t>
        <w:tab/>
      </w:r>
      <w:r>
        <w:rPr>
          <w:b/>
          <w:sz w:val="22"/>
        </w:rPr>
        <w:t>Jurisdiction.</w:t>
      </w:r>
      <w:r>
        <w:rPr>
          <w:sz w:val="22"/>
        </w:rPr>
        <w:t xml:space="preserve">  Section 13(b) is hereby deleted in its entirety and replaced with the following:</w:t>
      </w:r>
    </w:p>
    <w:p>
      <w:pPr>
        <w:pStyle w:val="Normal"/>
        <w:ind w:hanging="720" w:start="720" w:end="0"/>
        <w:jc w:val="both"/>
        <w:rPr>
          <w:sz w:val="22"/>
        </w:rPr>
      </w:pPr>
      <w:r>
        <w:rPr>
          <w:sz w:val="22"/>
        </w:rPr>
      </w:r>
    </w:p>
    <w:p>
      <w:pPr>
        <w:pStyle w:val="Normal"/>
        <w:ind w:start="720" w:end="0"/>
        <w:jc w:val="both"/>
        <w:rPr/>
      </w:pPr>
      <w:r>
        <w:rPr>
          <w:sz w:val="22"/>
        </w:rPr>
        <w:tab/>
        <w:t>(b)</w:t>
        <w:tab/>
      </w: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rPr>
      </w:pPr>
      <w:r>
        <w:rPr>
          <w:sz w:val="22"/>
        </w:rPr>
      </w:r>
    </w:p>
    <w:p>
      <w:pPr>
        <w:pStyle w:val="Normal"/>
        <w:ind w:start="720" w:end="0"/>
        <w:jc w:val="both"/>
        <w:rPr/>
      </w:pPr>
      <w:r>
        <w:rPr>
          <w:b/>
          <w:sz w:val="22"/>
        </w:rPr>
        <w:t>Conduct Of The Arbitration, And Authority Of The Arbitrators:</w:t>
      </w:r>
      <w:r>
        <w:rPr>
          <w:sz w:val="22"/>
        </w:rPr>
        <w:t xml:space="preserve"> </w:t>
      </w:r>
      <w:r>
        <w:rPr>
          <w:i/>
          <w:sz w:val="22"/>
        </w:rPr>
        <w:t xml:space="preserve"> </w:t>
      </w:r>
      <w:r>
        <w:rPr>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rPr>
      </w:pPr>
      <w:r>
        <w:rPr>
          <w:sz w:val="22"/>
        </w:rPr>
      </w:r>
    </w:p>
    <w:p>
      <w:pPr>
        <w:pStyle w:val="Normal"/>
        <w:ind w:start="720" w:end="0"/>
        <w:jc w:val="both"/>
        <w:rPr/>
      </w:pPr>
      <w:r>
        <w:rPr>
          <w:b/>
          <w:sz w:val="22"/>
        </w:rPr>
        <w:t>Forum For The Arbitration And Selection Of Arbitrators:</w:t>
      </w:r>
      <w:r>
        <w:rPr>
          <w:sz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rPr>
      </w:pPr>
      <w:r>
        <w:rPr>
          <w:sz w:val="22"/>
        </w:rPr>
      </w:r>
    </w:p>
    <w:p>
      <w:pPr>
        <w:pStyle w:val="Normal"/>
        <w:ind w:start="720" w:end="0"/>
        <w:jc w:val="both"/>
        <w:rPr>
          <w:color w:val="FF0000"/>
          <w:sz w:val="22"/>
        </w:rPr>
      </w:pPr>
      <w:r>
        <w:rPr>
          <w:b/>
          <w:sz w:val="22"/>
        </w:rPr>
        <w:t>Confidentiality:</w:t>
      </w:r>
      <w:r>
        <w:rPr>
          <w:sz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sz w:val="22"/>
        </w:rPr>
      </w:pPr>
      <w:r>
        <w:rPr>
          <w:b/>
          <w:sz w:val="22"/>
        </w:rPr>
        <w:t>Part 5.  Other Provisions.</w:t>
      </w:r>
    </w:p>
    <w:p>
      <w:pPr>
        <w:pStyle w:val="Normal"/>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rPr>
        <w:t>(b)</w:t>
        <w:tab/>
      </w:r>
      <w:r>
        <w:rPr>
          <w:b/>
          <w:sz w:val="22"/>
        </w:rPr>
        <w:t>Representations.</w:t>
      </w:r>
      <w:r>
        <w:rPr>
          <w:sz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sz w:val="22"/>
        </w:rPr>
        <w:t>(g)</w:t>
        <w:tab/>
      </w:r>
      <w:r>
        <w:rPr>
          <w:b/>
          <w:sz w:val="22"/>
        </w:rPr>
        <w:t>Line of Business.</w:t>
      </w:r>
      <w:r>
        <w:rPr>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Normal"/>
        <w:spacing w:lineRule="exact" w:line="240" w:before="240" w:after="0"/>
        <w:ind w:firstLine="720" w:start="720" w:end="0"/>
        <w:jc w:val="both"/>
        <w:rPr/>
      </w:pPr>
      <w:r>
        <w:rPr>
          <w:sz w:val="22"/>
        </w:rPr>
        <w:t>(h)</w:t>
        <w:tab/>
      </w:r>
      <w:r>
        <w:rPr>
          <w:b/>
          <w:sz w:val="22"/>
        </w:rPr>
        <w:t>Eligible Swap Participant.</w:t>
      </w:r>
      <w:r>
        <w:rPr>
          <w:sz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rPr>
        <w:t>(i)</w:t>
      </w:r>
      <w:r>
        <w:rPr>
          <w:b/>
          <w:sz w:val="22"/>
        </w:rPr>
        <w:tab/>
        <w:t>Customization and Creditworthiness.</w:t>
      </w:r>
      <w:r>
        <w:rPr>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rPr>
        <w:t>(j)</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rPr>
        <w:t>(c)</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spacing w:lineRule="exact" w:line="240" w:before="240" w:after="0"/>
        <w:ind w:firstLine="720" w:end="0"/>
        <w:jc w:val="both"/>
        <w:rPr/>
      </w:pPr>
      <w:r>
        <w:rPr>
          <w:sz w:val="22"/>
        </w:rPr>
        <w:t>(d)</w:t>
        <w:tab/>
      </w:r>
      <w:r>
        <w:rPr>
          <w:b/>
          <w:sz w:val="22"/>
        </w:rPr>
        <w:t>Specified Indebtedness</w:t>
      </w:r>
      <w:r>
        <w:rPr>
          <w:sz w:val="22"/>
        </w:rPr>
        <w:t>.  The definition of “</w:t>
      </w:r>
      <w:r>
        <w:rPr>
          <w:b/>
          <w:sz w:val="22"/>
        </w:rPr>
        <w:t>Specified Indebtedness</w:t>
      </w:r>
      <w:r>
        <w:rPr>
          <w:sz w:val="22"/>
        </w:rPr>
        <w:t xml:space="preserve">” in Section 14 shall include as to Party B all obligations of Party B under or with respect to (i) that certain Credit Agreement dated as of February 15, 1994 between Party B, Kaiser Aluminum Corporation, BankAmerica Business Credit, Inc, as Agent, and the financial institutions that are a party thereto, as amended; (ii) those certain $225,000,000 9 7/8% Senior Notes due 2002 issued by Party B; (iii) those certain $175,000,000 10 7/8% Senior Notes due 2006 issued by Party B; and (iv) those certain $400,000,000 12 3/4% Senior Subordinated Notes doe 2003. </w:t>
      </w:r>
    </w:p>
    <w:p>
      <w:pPr>
        <w:pStyle w:val="BodyTextIndent2"/>
        <w:widowControl/>
        <w:tabs>
          <w:tab w:val="clear" w:pos="1350"/>
        </w:tabs>
        <w:spacing w:lineRule="exact" w:line="240" w:before="240" w:after="0"/>
        <w:rPr>
          <w:rFonts w:ascii="Times New Roman" w:hAnsi="Times New Roman" w:cs="Times New Roman"/>
          <w:b/>
        </w:rPr>
      </w:pPr>
      <w:r>
        <w:rPr>
          <w:rFonts w:cs="Times New Roman" w:ascii="Times New Roman" w:hAnsi="Times New Roman"/>
        </w:rPr>
        <w:t>(e)</w:t>
        <w:tab/>
      </w:r>
      <w:r>
        <w:rPr>
          <w:rFonts w:cs="Times New Roman" w:ascii="Times New Roman" w:hAnsi="Times New Roman"/>
          <w:b/>
        </w:rPr>
        <w:t>Specified Transaction</w:t>
      </w:r>
      <w:r>
        <w:rPr>
          <w:rFonts w:cs="Times New Roman" w:ascii="Times New Roman" w:hAnsi="Times New Roman"/>
        </w:rPr>
        <w:t>.  The definition of “</w:t>
      </w:r>
      <w:r>
        <w:rPr>
          <w:rFonts w:cs="Times New Roman" w:ascii="Times New Roman" w:hAnsi="Times New Roman"/>
          <w:b/>
        </w:rPr>
        <w:t>Specified Transaction</w:t>
      </w:r>
      <w:r>
        <w:rPr>
          <w:rFonts w:cs="Times New Roman" w:ascii="Times New Roman" w:hAnsi="Times New Roman"/>
        </w:rPr>
        <w:t xml:space="preserve">” in Section 14 is hereby amended to include (i) any power purchase agreement entered into by Party B with any Affiliate of Party A, including, without limitation, that certain Power Purchase Agreement dated as of March __, 2000 between Party B and Enron Power Marketing, Inc. and (ii) any Specified Transaction entered into by Party B with any third party.   </w:t>
      </w:r>
    </w:p>
    <w:p>
      <w:pPr>
        <w:pStyle w:val="Normal"/>
        <w:spacing w:lineRule="exact" w:line="240" w:before="240" w:after="0"/>
        <w:jc w:val="both"/>
        <w:rPr/>
      </w:pPr>
      <w:r>
        <w:rPr>
          <w:sz w:val="22"/>
        </w:rPr>
        <w:t xml:space="preserve"> </w:t>
      </w:r>
      <w:r>
        <w:rPr>
          <w:sz w:val="22"/>
        </w:rPr>
        <w:tab/>
        <w:t>(f)</w:t>
        <w:tab/>
      </w:r>
      <w:r>
        <w:rPr>
          <w:b/>
          <w:sz w:val="22"/>
        </w:rPr>
        <w:t>Definitions.</w:t>
      </w:r>
      <w:r>
        <w:rPr>
          <w:sz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rPr>
        <w:t>(g)</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rPr>
        <w:t>(h)</w:t>
      </w:r>
      <w:r>
        <w:rPr>
          <w:b/>
          <w:sz w:val="22"/>
        </w:rPr>
        <w:tab/>
        <w:t>Recording.</w:t>
      </w:r>
      <w:r>
        <w:rPr>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rPr>
        <w:t>(i)</w:t>
        <w:tab/>
      </w:r>
      <w:r>
        <w:rPr>
          <w:b/>
          <w:sz w:val="22"/>
        </w:rPr>
        <w:t>Setoff.</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sz w:val="22"/>
        </w:rPr>
        <w:t>(j)</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color w:val="000000"/>
          <w:sz w:val="22"/>
        </w:rPr>
        <w:t>AND GENUINE PRE-ESTIMATE AND</w:t>
      </w:r>
      <w:r>
        <w:rPr>
          <w:b/>
          <w:sz w:val="22"/>
        </w:rPr>
        <w:t xml:space="preserve"> APPROXIMATION OF THE AMOUNT OF SUCH DAMAGES AND NOT A PENALTY.</w:t>
      </w:r>
    </w:p>
    <w:p>
      <w:pPr>
        <w:pStyle w:val="Normal"/>
        <w:spacing w:lineRule="exact" w:line="240" w:before="240" w:after="0"/>
        <w:ind w:firstLine="720" w:end="0"/>
        <w:jc w:val="both"/>
        <w:rPr/>
      </w:pPr>
      <w:r>
        <w:rPr>
          <w:sz w:val="22"/>
        </w:rPr>
        <w:t>(k)</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rPr>
      </w:pPr>
      <w:r>
        <w:rPr>
          <w:sz w:val="22"/>
        </w:rPr>
      </w:r>
    </w:p>
    <w:p>
      <w:pPr>
        <w:pStyle w:val="Normal"/>
        <w:spacing w:lineRule="exact" w:line="240"/>
        <w:ind w:firstLine="630" w:end="0"/>
        <w:jc w:val="both"/>
        <w:rPr/>
      </w:pPr>
      <w:r>
        <w:rPr>
          <w:sz w:val="22"/>
        </w:rPr>
        <w:t>(l)</w:t>
        <w:tab/>
      </w:r>
      <w:r>
        <w:rPr>
          <w:b/>
          <w:sz w:val="22"/>
        </w:rPr>
        <w:t>Transfer.</w:t>
      </w:r>
      <w:r>
        <w:rPr>
          <w:sz w:val="22"/>
        </w:rPr>
        <w:t xml:space="preserve">  Section 7 is hereby amended by adding the following Subsection (c):</w:t>
      </w:r>
    </w:p>
    <w:p>
      <w:pPr>
        <w:pStyle w:val="Normal"/>
        <w:spacing w:lineRule="exact" w:line="240"/>
        <w:ind w:firstLine="630" w:end="0"/>
        <w:jc w:val="both"/>
        <w:rPr>
          <w:sz w:val="22"/>
        </w:rPr>
      </w:pPr>
      <w:r>
        <w:rPr>
          <w:sz w:val="22"/>
        </w:rPr>
      </w:r>
    </w:p>
    <w:p>
      <w:pPr>
        <w:pStyle w:val="Normal"/>
        <w:spacing w:lineRule="exact" w:line="240"/>
        <w:ind w:firstLine="630" w:end="0"/>
        <w:jc w:val="both"/>
        <w:rPr>
          <w:sz w:val="22"/>
        </w:rPr>
      </w:pPr>
      <w:r>
        <w:rPr>
          <w:sz w:val="22"/>
        </w:rPr>
        <w:t>“</w:t>
      </w:r>
      <w:r>
        <w:rPr>
          <w:sz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provided that such transfer will not give rise to a Termination Event or an Event of Default.”</w:t>
      </w:r>
    </w:p>
    <w:p>
      <w:pPr>
        <w:pStyle w:val="Normal"/>
        <w:spacing w:lineRule="exact" w:line="240" w:before="240" w:after="0"/>
        <w:ind w:firstLine="720" w:end="0"/>
        <w:jc w:val="both"/>
        <w:rPr/>
      </w:pPr>
      <w:r>
        <w:rPr>
          <w:sz w:val="22"/>
        </w:rPr>
        <w:t>(m)</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rPr>
        <w:t>(n)</w:t>
        <w:tab/>
        <w:t>S</w:t>
      </w:r>
      <w:r>
        <w:rPr>
          <w:b/>
          <w:sz w:val="22"/>
        </w:rPr>
        <w:t>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rPr>
      </w:pPr>
      <w:r>
        <w:rPr>
          <w:sz w:val="22"/>
        </w:rPr>
      </w:r>
    </w:p>
    <w:p>
      <w:pPr>
        <w:pStyle w:val="Normal"/>
        <w:spacing w:lineRule="exact" w:line="240"/>
        <w:ind w:firstLine="720" w:end="0"/>
        <w:jc w:val="both"/>
        <w:rPr/>
      </w:pPr>
      <w:r>
        <w:rPr>
          <w:sz w:val="22"/>
        </w:rPr>
        <w:t>(o)</w:t>
        <w:tab/>
      </w:r>
      <w:r>
        <w:rPr>
          <w:b/>
          <w:sz w:val="22"/>
        </w:rPr>
        <w:t>Limitation of Rate.</w:t>
      </w:r>
      <w:r>
        <w:rPr>
          <w:sz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spacing w:before="480" w:after="0"/>
        <w:jc w:val="both"/>
        <w:rPr/>
      </w:pPr>
      <w:r>
        <w:rPr>
          <w:b/>
          <w:sz w:val="22"/>
        </w:rPr>
        <w:tab/>
      </w:r>
      <w:r>
        <w:rPr>
          <w:sz w:val="22"/>
        </w:rPr>
        <w:t>(p)</w:t>
        <w:tab/>
      </w:r>
      <w:r>
        <w:rPr>
          <w:b/>
          <w:sz w:val="22"/>
        </w:rPr>
        <w:t>Existing Master Agreement</w:t>
      </w:r>
      <w:r>
        <w:rPr>
          <w:sz w:val="22"/>
        </w:rPr>
        <w:t xml:space="preserve">.  Party A and Party B hereby agree that  (x)(i) the ISDA Master Agreement dated as of August 28, 1997 between Party A and Party B (the “Existing Master Agreement”) and (ii) that certain Guarantee dated August 28, 1997 from Enron Corp. for the benefit of Party B shall as of the date of this Agreement be terminated; (y) all Transactions between Party A and Party B shall be governed by this Agreement, except for the Transaction that is described on Exhibit B attached hereto(the “Call Spread Transaction”); and (z) the term Transaction as used in this Agreement and any Credit Support Document provided in connection with this Agreement shall refer to and mean the all Transactions between Party A and Party B except for the Call Spread Transaction. </w:t>
      </w:r>
      <w:r>
        <w:rPr>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sz w:val="22"/>
        </w:rPr>
      </w:pPr>
      <w:r>
        <w:rPr>
          <w:sz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rPr>
      </w:pPr>
      <w:r>
        <w:rPr>
          <w:sz w:val="22"/>
        </w:rPr>
      </w:r>
    </w:p>
    <w:p>
      <w:pPr>
        <w:pStyle w:val="Normal"/>
        <w:ind w:firstLine="720" w:end="0"/>
        <w:jc w:val="both"/>
        <w:rPr>
          <w:sz w:val="22"/>
        </w:rPr>
      </w:pPr>
      <w:r>
        <w:rPr>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rPr>
      </w:pPr>
      <w:r>
        <w:rPr>
          <w:sz w:val="22"/>
        </w:rPr>
      </w:r>
    </w:p>
    <w:p>
      <w:pPr>
        <w:pStyle w:val="Normal"/>
        <w:ind w:firstLine="720" w:end="0"/>
        <w:jc w:val="both"/>
        <w:rPr>
          <w:sz w:val="22"/>
        </w:rPr>
      </w:pPr>
      <w:r>
        <w:rPr>
          <w:sz w:val="22"/>
        </w:rPr>
        <w:t>(c)</w:t>
        <w:tab/>
        <w:t>Section 7.4(c)(viii) of the Commodity Definitions is hereby amended by the addition of the following at the end thereof:</w:t>
      </w:r>
    </w:p>
    <w:p>
      <w:pPr>
        <w:pStyle w:val="Normal"/>
        <w:ind w:firstLine="720" w:end="0"/>
        <w:jc w:val="both"/>
        <w:rPr>
          <w:sz w:val="22"/>
        </w:rPr>
      </w:pPr>
      <w:r>
        <w:rPr>
          <w:sz w:val="22"/>
        </w:rPr>
      </w:r>
    </w:p>
    <w:p>
      <w:pPr>
        <w:pStyle w:val="Normal"/>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rPr>
      </w:pPr>
      <w:r>
        <w:rPr>
          <w:sz w:val="22"/>
        </w:rPr>
      </w:r>
    </w:p>
    <w:p>
      <w:pPr>
        <w:pStyle w:val="Normal"/>
        <w:ind w:firstLine="720" w:end="0"/>
        <w:jc w:val="both"/>
        <w:rPr>
          <w:sz w:val="22"/>
        </w:rPr>
      </w:pPr>
      <w:r>
        <w:rPr>
          <w:sz w:val="22"/>
        </w:rPr>
        <w:t>(d)</w:t>
        <w:tab/>
        <w:t>Section 7.5(e) of the Commodity Definitions is hereby deleted.</w:t>
      </w:r>
    </w:p>
    <w:p>
      <w:pPr>
        <w:pStyle w:val="Normal"/>
        <w:ind w:firstLine="720" w:end="0"/>
        <w:jc w:val="both"/>
        <w:rPr>
          <w:sz w:val="22"/>
        </w:rPr>
      </w:pPr>
      <w:r>
        <w:rPr>
          <w:sz w:val="22"/>
        </w:rPr>
      </w:r>
    </w:p>
    <w:p>
      <w:pPr>
        <w:pStyle w:val="Normal"/>
        <w:ind w:firstLine="720" w:end="0"/>
        <w:jc w:val="both"/>
        <w:rPr>
          <w:sz w:val="22"/>
        </w:rPr>
      </w:pPr>
      <w:r>
        <w:rPr>
          <w:sz w:val="22"/>
        </w:rPr>
        <w:t>(e)</w:t>
        <w:tab/>
        <w:t>“Additional Market Disruption Events” shall apply only if so specified in the relevant Confirmation.</w:t>
      </w:r>
    </w:p>
    <w:p>
      <w:pPr>
        <w:pStyle w:val="Normal"/>
        <w:ind w:firstLine="720" w:end="0"/>
        <w:jc w:val="both"/>
        <w:rPr>
          <w:sz w:val="22"/>
        </w:rPr>
      </w:pPr>
      <w:r>
        <w:rPr>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sz w:val="22"/>
        </w:rPr>
      </w:r>
    </w:p>
    <w:p>
      <w:pPr>
        <w:pStyle w:val="Normal"/>
        <w:ind w:firstLine="720" w:start="1440" w:end="720"/>
        <w:jc w:val="both"/>
        <w:rPr>
          <w:sz w:val="22"/>
        </w:rPr>
      </w:pPr>
      <w:r>
        <w:rPr>
          <w:sz w:val="22"/>
        </w:rPr>
        <w:t>(i)</w:t>
        <w:tab/>
        <w:t>“Postponement”, with three (3) Commodity Business Days as the Maximum Days of Disruption;</w:t>
      </w:r>
    </w:p>
    <w:p>
      <w:pPr>
        <w:pStyle w:val="Normal"/>
        <w:ind w:firstLine="720" w:start="1440" w:end="720"/>
        <w:jc w:val="both"/>
        <w:rPr>
          <w:sz w:val="22"/>
        </w:rPr>
      </w:pPr>
      <w:r>
        <w:rPr>
          <w:sz w:val="22"/>
        </w:rPr>
      </w:r>
    </w:p>
    <w:p>
      <w:pPr>
        <w:pStyle w:val="Normal"/>
        <w:ind w:firstLine="720" w:start="1440" w:end="720"/>
        <w:jc w:val="both"/>
        <w:rPr>
          <w:sz w:val="22"/>
        </w:rPr>
      </w:pPr>
      <w:r>
        <w:rPr>
          <w:sz w:val="22"/>
        </w:rPr>
        <w:t>(ii)</w:t>
        <w:tab/>
        <w:t>“Fallback Reference Price” (if the relevant parties have specified an alternate Commodity Reference Price in the Confirmation);</w:t>
      </w:r>
    </w:p>
    <w:p>
      <w:pPr>
        <w:pStyle w:val="Normal"/>
        <w:ind w:firstLine="720" w:start="1440" w:end="720"/>
        <w:jc w:val="both"/>
        <w:rPr>
          <w:sz w:val="22"/>
        </w:rPr>
      </w:pPr>
      <w:r>
        <w:rPr>
          <w:sz w:val="22"/>
        </w:rPr>
      </w:r>
    </w:p>
    <w:p>
      <w:pPr>
        <w:pStyle w:val="Normal"/>
        <w:ind w:firstLine="720" w:start="1440" w:end="720"/>
        <w:jc w:val="both"/>
        <w:rPr>
          <w:sz w:val="22"/>
        </w:rPr>
      </w:pPr>
      <w:r>
        <w:rPr>
          <w:sz w:val="22"/>
        </w:rPr>
        <w:t>(iii)</w:t>
        <w:tab/>
        <w:t>“Negotiated Fallback” (provided that the reference in Section 7.5(c)(ii) to “fifth Business Day” shall be amended to be “twelfth Business Day”); and</w:t>
      </w:r>
    </w:p>
    <w:p>
      <w:pPr>
        <w:pStyle w:val="Normal"/>
        <w:ind w:firstLine="720" w:start="1440" w:end="720"/>
        <w:jc w:val="both"/>
        <w:rPr>
          <w:sz w:val="22"/>
        </w:rPr>
      </w:pPr>
      <w:r>
        <w:rPr>
          <w:sz w:val="22"/>
        </w:rPr>
      </w:r>
    </w:p>
    <w:p>
      <w:pPr>
        <w:pStyle w:val="Normal"/>
        <w:ind w:start="1440" w:end="0"/>
        <w:jc w:val="both"/>
        <w:rPr>
          <w:sz w:val="22"/>
        </w:rPr>
      </w:pPr>
      <w:r>
        <w:rPr>
          <w:sz w:val="22"/>
        </w:rPr>
        <w:tab/>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jc w:val="both"/>
        <w:rPr>
          <w:sz w:val="22"/>
        </w:rPr>
      </w:pPr>
      <w:r>
        <w:rPr>
          <w:sz w:val="22"/>
        </w:rPr>
      </w:r>
    </w:p>
    <w:p>
      <w:pPr>
        <w:pStyle w:val="Header"/>
        <w:widowControl/>
        <w:rPr>
          <w:sz w:val="22"/>
        </w:rPr>
      </w:pPr>
      <w:r>
        <w:rPr>
          <w:sz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rPr>
      </w:pPr>
      <w:r>
        <w:rPr>
          <w:rFonts w:cs="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000000"/>
                <w:sz w:val="22"/>
              </w:rPr>
            </w:pPr>
            <w:r>
              <w:rPr>
                <w:b/>
                <w:color w:val="000000"/>
                <w:sz w:val="22"/>
              </w:rPr>
              <w:t>ENRON NORTH AMERICA CORP.</w:t>
            </w:r>
          </w:p>
          <w:p>
            <w:pPr>
              <w:pStyle w:val="Normal"/>
              <w:keepNext w:val="true"/>
              <w:spacing w:lineRule="exact" w:line="240"/>
              <w:jc w:val="both"/>
              <w:rPr>
                <w:b/>
                <w:color w:val="000000"/>
                <w:sz w:val="22"/>
              </w:rPr>
            </w:pPr>
            <w:r>
              <w:rPr>
                <w:b/>
                <w:color w:val="000000"/>
                <w:sz w:val="22"/>
              </w:rPr>
            </w:r>
          </w:p>
          <w:p>
            <w:pPr>
              <w:pStyle w:val="Normal"/>
              <w:keepNext w:val="true"/>
              <w:spacing w:lineRule="exact" w:line="240"/>
              <w:jc w:val="both"/>
              <w:rPr>
                <w:b/>
                <w:color w:val="000000"/>
                <w:sz w:val="22"/>
              </w:rPr>
            </w:pPr>
            <w:r>
              <w:rPr>
                <w:b/>
                <w:color w:val="000000"/>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spacing w:lineRule="exact" w:line="240"/>
              <w:jc w:val="both"/>
              <w:rPr>
                <w:sz w:val="22"/>
              </w:rPr>
            </w:pPr>
            <w:r>
              <w:rPr>
                <w:sz w:val="22"/>
              </w:rPr>
              <w:t xml:space="preserve">Date:     </w:t>
            </w:r>
            <w:r>
              <w:rPr>
                <w:sz w:val="22"/>
                <w:u w:val="single"/>
              </w:rPr>
              <w:tab/>
              <w:tab/>
              <w:tab/>
              <w:tab/>
              <w:tab/>
            </w:r>
          </w:p>
        </w:tc>
        <w:tc>
          <w:tcPr>
            <w:tcW w:w="4788" w:type="dxa"/>
            <w:tcBorders/>
          </w:tcPr>
          <w:p>
            <w:pPr>
              <w:pStyle w:val="Normal"/>
              <w:keepNext w:val="true"/>
              <w:spacing w:lineRule="exact" w:line="240"/>
              <w:jc w:val="both"/>
              <w:rPr>
                <w:color w:val="000000"/>
                <w:sz w:val="22"/>
              </w:rPr>
            </w:pPr>
            <w:r>
              <w:rPr>
                <w:b/>
                <w:color w:val="000000"/>
                <w:sz w:val="22"/>
              </w:rPr>
              <w:t>KAISER ALUMINUM &amp; CHEMICAL CORPORATION</w:t>
            </w:r>
          </w:p>
          <w:p>
            <w:pPr>
              <w:pStyle w:val="Normal"/>
              <w:keepNext w:val="true"/>
              <w:spacing w:lineRule="exact" w:line="240"/>
              <w:jc w:val="both"/>
              <w:rPr>
                <w:color w:val="000000"/>
                <w:sz w:val="22"/>
              </w:rPr>
            </w:pPr>
            <w:r>
              <w:rPr>
                <w:color w:val="000000"/>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spacing w:lineRule="exact" w:line="240"/>
              <w:jc w:val="both"/>
              <w:rPr/>
            </w:pPr>
            <w:r>
              <w:rPr>
                <w:sz w:val="22"/>
              </w:rPr>
              <w:t>Title:</w:t>
              <w:tab/>
            </w:r>
            <w:r>
              <w:rPr>
                <w:sz w:val="22"/>
                <w:u w:val="single"/>
              </w:rPr>
              <w:tab/>
              <w:tab/>
              <w:tab/>
              <w:tab/>
              <w:tab/>
            </w:r>
          </w:p>
          <w:p>
            <w:pPr>
              <w:pStyle w:val="Normal"/>
              <w:keepNext w:val="true"/>
              <w:spacing w:lineRule="exact" w:line="240"/>
              <w:jc w:val="both"/>
              <w:rPr>
                <w:sz w:val="22"/>
              </w:rPr>
            </w:pPr>
            <w:r>
              <w:rPr>
                <w:sz w:val="22"/>
              </w:rPr>
              <w:t xml:space="preserve">Date:     </w:t>
            </w:r>
            <w:r>
              <w:rPr>
                <w:sz w:val="22"/>
                <w:u w:val="single"/>
              </w:rPr>
              <w:tab/>
              <w:tab/>
              <w:tab/>
              <w:tab/>
              <w:tab/>
            </w:r>
          </w:p>
        </w:tc>
      </w:tr>
    </w:tbl>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700" w:leader="none"/>
        </w:tabs>
        <w:spacing w:lineRule="exact" w:line="240"/>
        <w:ind w:hanging="3060" w:start="3060" w:end="0"/>
        <w:jc w:val="both"/>
        <w:rPr>
          <w:sz w:val="22"/>
        </w:rPr>
      </w:pPr>
      <w:r>
        <w:rPr>
          <w:sz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rPr>
      </w:pPr>
      <w:r>
        <w:rPr>
          <w:sz w:val="22"/>
        </w:rPr>
        <w:t>SCHEDULE 1</w:t>
        <w:tab/>
        <w:t>IRREVOCABLE TRANSFERABLE STANDBY LETTER OF CREDIT</w:t>
      </w:r>
    </w:p>
    <w:p>
      <w:pPr>
        <w:pStyle w:val="Normal"/>
        <w:tabs>
          <w:tab w:val="clear" w:pos="720"/>
          <w:tab w:val="left" w:pos="2700" w:leader="none"/>
        </w:tabs>
        <w:spacing w:lineRule="exact" w:line="240"/>
        <w:ind w:hanging="3060" w:start="3060" w:end="0"/>
        <w:jc w:val="both"/>
        <w:rPr>
          <w:sz w:val="22"/>
        </w:rPr>
      </w:pPr>
      <w:r>
        <w:rPr>
          <w:sz w:val="22"/>
        </w:rPr>
        <w:t>EXHIBIT A</w:t>
        <w:tab/>
        <w:t>FORM OF GUARANTY (PARTY A)</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rPr>
      </w:pPr>
      <w:r>
        <w:rPr>
          <w:sz w:val="22"/>
        </w:rPr>
        <w:t>EXHIBIT B</w:t>
        <w:tab/>
        <w:t>DESCRIPTION OF CALL SPREAD TRANSACTION</w:t>
        <w:tab/>
      </w:r>
    </w:p>
    <w:p>
      <w:pPr>
        <w:pStyle w:val="Normal"/>
        <w:jc w:val="center"/>
        <w:rPr>
          <w:b/>
          <w:sz w:val="22"/>
          <w:u w:val="single"/>
        </w:rPr>
      </w:pPr>
      <w:r>
        <w:rPr>
          <w:b/>
          <w:sz w:val="22"/>
          <w:u w:val="single"/>
        </w:rPr>
        <w:t>PARAGRAPH 13</w:t>
      </w:r>
    </w:p>
    <w:p>
      <w:pPr>
        <w:pStyle w:val="Normal"/>
        <w:jc w:val="center"/>
        <w:rPr>
          <w:b/>
          <w:sz w:val="22"/>
        </w:rPr>
      </w:pPr>
      <w:r>
        <w:rPr>
          <w:b/>
          <w:sz w:val="22"/>
        </w:rPr>
        <w:t>to the</w:t>
      </w:r>
    </w:p>
    <w:p>
      <w:pPr>
        <w:pStyle w:val="Normal"/>
        <w:jc w:val="center"/>
        <w:rPr>
          <w:b/>
          <w:sz w:val="22"/>
        </w:rPr>
      </w:pPr>
      <w:r>
        <w:rPr>
          <w:b/>
          <w:sz w:val="22"/>
        </w:rPr>
        <w:t>ISDA CREDIT SUPPORT ANNEX</w:t>
      </w:r>
    </w:p>
    <w:p>
      <w:pPr>
        <w:pStyle w:val="Normal"/>
        <w:jc w:val="center"/>
        <w:rPr>
          <w:b/>
          <w:sz w:val="22"/>
        </w:rPr>
      </w:pPr>
      <w:r>
        <w:rPr>
          <w:b/>
          <w:sz w:val="22"/>
        </w:rPr>
      </w:r>
    </w:p>
    <w:p>
      <w:pPr>
        <w:pStyle w:val="Normal"/>
        <w:jc w:val="center"/>
        <w:rPr>
          <w:b/>
          <w:sz w:val="22"/>
        </w:rPr>
      </w:pPr>
      <w:r>
        <w:rPr>
          <w:b/>
          <w:sz w:val="22"/>
        </w:rPr>
        <w:t>dated as of _________________, 2000</w:t>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968"/>
        <w:gridCol w:w="4608"/>
      </w:tblGrid>
      <w:tr>
        <w:trPr/>
        <w:tc>
          <w:tcPr>
            <w:tcW w:w="496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608" w:type="dxa"/>
            <w:tcBorders/>
          </w:tcPr>
          <w:p>
            <w:pPr>
              <w:pStyle w:val="Normal"/>
              <w:tabs>
                <w:tab w:val="clear" w:pos="720"/>
                <w:tab w:val="center" w:pos="5760" w:leader="none"/>
              </w:tabs>
              <w:spacing w:before="240" w:after="0"/>
              <w:jc w:val="center"/>
              <w:rPr>
                <w:b/>
                <w:color w:val="000000"/>
                <w:sz w:val="22"/>
              </w:rPr>
            </w:pPr>
            <w:r>
              <w:rPr>
                <w:b/>
                <w:color w:val="000000"/>
                <w:sz w:val="22"/>
              </w:rPr>
              <w:t>KAISER ALUMINUM &amp; CHEMICAL CORPORATION, a corporation organized under the law of the State of Delaware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rPr>
      </w:pPr>
      <w:r>
        <w:rPr>
          <w:b/>
          <w:sz w:val="22"/>
        </w:rPr>
        <w:t>Paragraph 13.  Elections and Variables.</w:t>
      </w:r>
    </w:p>
    <w:p>
      <w:pPr>
        <w:pStyle w:val="Normal"/>
        <w:jc w:val="both"/>
        <w:rPr>
          <w:sz w:val="22"/>
        </w:rPr>
      </w:pPr>
      <w:r>
        <w:rPr>
          <w:sz w:val="22"/>
        </w:rPr>
      </w:r>
    </w:p>
    <w:p>
      <w:pPr>
        <w:pStyle w:val="Normal"/>
        <w:ind w:hanging="720" w:start="720" w:end="0"/>
        <w:jc w:val="both"/>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ind w:hanging="360" w:start="360" w:end="0"/>
        <w:jc w:val="both"/>
        <w:rPr>
          <w:sz w:val="22"/>
        </w:rPr>
      </w:pPr>
      <w:r>
        <w:rPr>
          <w:sz w:val="22"/>
        </w:rPr>
      </w:r>
    </w:p>
    <w:p>
      <w:pPr>
        <w:pStyle w:val="Normal"/>
        <w:ind w:start="630" w:end="0"/>
        <w:jc w:val="both"/>
        <w:rPr>
          <w:sz w:val="22"/>
        </w:rPr>
      </w:pPr>
      <w:r>
        <w:rPr>
          <w:sz w:val="22"/>
        </w:rPr>
        <w:t>With respect to Party A:  None.</w:t>
      </w:r>
    </w:p>
    <w:p>
      <w:pPr>
        <w:pStyle w:val="Normal"/>
        <w:ind w:start="630" w:end="0"/>
        <w:jc w:val="both"/>
        <w:rPr>
          <w:sz w:val="22"/>
        </w:rPr>
      </w:pPr>
      <w:r>
        <w:rPr>
          <w:sz w:val="22"/>
        </w:rPr>
      </w:r>
    </w:p>
    <w:p>
      <w:pPr>
        <w:pStyle w:val="Normal"/>
        <w:ind w:start="630" w:end="0"/>
        <w:jc w:val="both"/>
        <w:rPr>
          <w:sz w:val="22"/>
        </w:rPr>
      </w:pPr>
      <w:r>
        <w:rPr>
          <w:sz w:val="22"/>
        </w:rPr>
        <w:t>With respect to Party B:  None.</w:t>
      </w:r>
    </w:p>
    <w:p>
      <w:pPr>
        <w:pStyle w:val="Normal"/>
        <w:ind w:hanging="720" w:start="720" w:end="0"/>
        <w:jc w:val="both"/>
        <w:rPr>
          <w:sz w:val="22"/>
        </w:rPr>
      </w:pPr>
      <w:r>
        <w:rPr>
          <w:sz w:val="22"/>
        </w:rPr>
      </w:r>
    </w:p>
    <w:p>
      <w:pPr>
        <w:pStyle w:val="Normal"/>
        <w:ind w:hanging="360" w:start="360" w:end="0"/>
        <w:jc w:val="both"/>
        <w:rPr/>
      </w:pPr>
      <w:r>
        <w:rPr>
          <w:sz w:val="22"/>
        </w:rPr>
        <w:t>(b)</w:t>
        <w:tab/>
      </w:r>
      <w:r>
        <w:rPr>
          <w:b/>
          <w:sz w:val="22"/>
        </w:rPr>
        <w:t>Credit Support Obligations.</w:t>
      </w:r>
    </w:p>
    <w:p>
      <w:pPr>
        <w:pStyle w:val="Normal"/>
        <w:ind w:hanging="720" w:start="720" w:end="0"/>
        <w:jc w:val="both"/>
        <w:rPr>
          <w:b/>
          <w:sz w:val="22"/>
        </w:rPr>
      </w:pPr>
      <w:r>
        <w:rPr>
          <w:b/>
          <w:sz w:val="22"/>
        </w:rPr>
      </w:r>
    </w:p>
    <w:p>
      <w:pPr>
        <w:pStyle w:val="Normal"/>
        <w:ind w:start="720" w:end="0"/>
        <w:jc w:val="both"/>
        <w:rPr>
          <w:sz w:val="22"/>
        </w:rPr>
      </w:pPr>
      <w:r>
        <w:rPr>
          <w:sz w:val="22"/>
        </w:rPr>
        <w:t xml:space="preserve">(i)  </w:t>
      </w:r>
      <w:r>
        <w:rPr>
          <w:b/>
          <w:sz w:val="22"/>
        </w:rPr>
        <w:t>Delivery Amount, Return Amount, and Credit Support Amount.</w:t>
      </w:r>
    </w:p>
    <w:p>
      <w:pPr>
        <w:pStyle w:val="Normal"/>
        <w:ind w:hanging="1260" w:start="1440" w:end="0"/>
        <w:jc w:val="both"/>
        <w:rPr>
          <w:sz w:val="22"/>
        </w:rPr>
      </w:pPr>
      <w:r>
        <w:rPr>
          <w:sz w:val="22"/>
        </w:rPr>
      </w:r>
    </w:p>
    <w:p>
      <w:pPr>
        <w:pStyle w:val="Normal"/>
        <w:tabs>
          <w:tab w:val="clear" w:pos="720"/>
          <w:tab w:val="left" w:pos="1080" w:leader="none"/>
        </w:tabs>
        <w:ind w:start="720" w:end="0"/>
        <w:jc w:val="both"/>
        <w:rPr/>
      </w:pPr>
      <w:r>
        <w:rPr>
          <w:sz w:val="22"/>
        </w:rPr>
        <w:t xml:space="preserve">(A) </w:t>
      </w:r>
      <w:r>
        <w:rPr>
          <w:b/>
          <w:sz w:val="22"/>
        </w:rPr>
        <w:t>“Delivery Amount”</w:t>
      </w:r>
      <w:r>
        <w:rPr>
          <w:sz w:val="22"/>
        </w:rPr>
        <w:t xml:space="preserve"> has the meaning specified in Paragraph 3(a).</w:t>
      </w:r>
    </w:p>
    <w:p>
      <w:pPr>
        <w:pStyle w:val="Normal"/>
        <w:ind w:start="720" w:end="0"/>
        <w:jc w:val="both"/>
        <w:rPr>
          <w:sz w:val="22"/>
        </w:rPr>
      </w:pPr>
      <w:r>
        <w:rPr>
          <w:sz w:val="22"/>
        </w:rPr>
      </w:r>
    </w:p>
    <w:p>
      <w:pPr>
        <w:pStyle w:val="Normal"/>
        <w:tabs>
          <w:tab w:val="clear" w:pos="720"/>
          <w:tab w:val="left" w:pos="1080" w:leader="none"/>
        </w:tabs>
        <w:ind w:start="720" w:end="0"/>
        <w:jc w:val="both"/>
        <w:rPr/>
      </w:pPr>
      <w:r>
        <w:rPr>
          <w:sz w:val="22"/>
        </w:rPr>
        <w:t xml:space="preserve">(B) </w:t>
      </w:r>
      <w:r>
        <w:rPr>
          <w:b/>
          <w:sz w:val="22"/>
        </w:rPr>
        <w:t>“Return Amount”</w:t>
      </w:r>
      <w:r>
        <w:rPr>
          <w:sz w:val="22"/>
        </w:rPr>
        <w:t xml:space="preserve"> has the meaning specified in Paragraph 3(b).</w:t>
      </w:r>
    </w:p>
    <w:p>
      <w:pPr>
        <w:pStyle w:val="Normal"/>
        <w:ind w:start="720" w:end="0"/>
        <w:jc w:val="both"/>
        <w:rPr>
          <w:sz w:val="22"/>
        </w:rPr>
      </w:pPr>
      <w:r>
        <w:rPr>
          <w:sz w:val="22"/>
        </w:rPr>
      </w:r>
    </w:p>
    <w:p>
      <w:pPr>
        <w:pStyle w:val="Normal"/>
        <w:tabs>
          <w:tab w:val="clear" w:pos="720"/>
          <w:tab w:val="left" w:pos="1080" w:leader="none"/>
        </w:tabs>
        <w:ind w:start="720" w:end="0"/>
        <w:jc w:val="both"/>
        <w:rPr>
          <w:b/>
          <w:sz w:val="22"/>
        </w:rPr>
      </w:pPr>
      <w:r>
        <w:rPr>
          <w:sz w:val="22"/>
        </w:rPr>
        <w:t xml:space="preserve">(C) </w:t>
      </w:r>
      <w:r>
        <w:rPr>
          <w:b/>
          <w:sz w:val="22"/>
        </w:rPr>
        <w:t>“Credit Support Amount”</w:t>
      </w:r>
      <w:r>
        <w:rPr>
          <w:sz w:val="22"/>
        </w:rPr>
        <w:t xml:space="preserve"> will mean the higher of (i) the amount calculated as provided in the definition of that term in Paragraph 3 and (ii) the sum of the Pledgor’s Independent Amounts; </w:t>
      </w:r>
      <w:r>
        <w:rPr>
          <w:sz w:val="22"/>
          <w:u w:val="single"/>
        </w:rPr>
        <w:t>provided</w:t>
      </w:r>
      <w:r>
        <w:rPr>
          <w:sz w:val="22"/>
        </w:rPr>
        <w:t xml:space="preserve">, </w:t>
      </w:r>
      <w:r>
        <w:rPr>
          <w:sz w:val="22"/>
          <w:u w:val="single"/>
        </w:rPr>
        <w:t>that</w:t>
      </w:r>
      <w:r>
        <w:rPr>
          <w:sz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sz w:val="22"/>
        </w:rPr>
      </w:pPr>
      <w:r>
        <w:rPr>
          <w:b/>
          <w:sz w:val="22"/>
        </w:rPr>
      </w:r>
    </w:p>
    <w:p>
      <w:pPr>
        <w:pStyle w:val="Normal"/>
        <w:ind w:start="720" w:end="0"/>
        <w:jc w:val="both"/>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sz w:val="22"/>
        </w:rPr>
        <w:t xml:space="preserve"> for the party specified.</w:t>
      </w:r>
    </w:p>
    <w:p>
      <w:pPr>
        <w:pStyle w:val="Normal"/>
        <w:ind w:start="1440" w:end="0"/>
        <w:jc w:val="both"/>
        <w:rPr>
          <w:sz w:val="22"/>
        </w:rPr>
      </w:pPr>
      <w:r>
        <w:rPr>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sz w:val="22"/>
              </w:rPr>
            </w:pPr>
            <w:r>
              <w:rPr>
                <w:b/>
                <w:sz w:val="22"/>
              </w:rPr>
            </w:r>
          </w:p>
        </w:tc>
        <w:tc>
          <w:tcPr>
            <w:tcW w:w="2880" w:type="dxa"/>
            <w:tcBorders/>
          </w:tcPr>
          <w:p>
            <w:pPr>
              <w:pStyle w:val="Normal"/>
              <w:keepNext w:val="true"/>
              <w:keepLines/>
              <w:snapToGrid w:val="false"/>
              <w:jc w:val="center"/>
              <w:rPr>
                <w:b/>
                <w:sz w:val="22"/>
              </w:rPr>
            </w:pPr>
            <w:r>
              <w:rPr>
                <w:b/>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tc>
        <w:tc>
          <w:tcPr>
            <w:tcW w:w="1365"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630" w:type="dxa"/>
            <w:tcBorders/>
          </w:tcPr>
          <w:p>
            <w:pPr>
              <w:pStyle w:val="Normal"/>
              <w:jc w:val="both"/>
              <w:rPr>
                <w:sz w:val="22"/>
              </w:rPr>
            </w:pPr>
            <w:r>
              <w:rPr>
                <w:sz w:val="22"/>
              </w:rPr>
              <w:t>(A)</w:t>
            </w:r>
          </w:p>
        </w:tc>
        <w:tc>
          <w:tcPr>
            <w:tcW w:w="2880" w:type="dxa"/>
            <w:tcBorders/>
          </w:tcPr>
          <w:p>
            <w:pPr>
              <w:pStyle w:val="Normal"/>
              <w:rPr>
                <w:sz w:val="22"/>
              </w:rPr>
            </w:pPr>
            <w:r>
              <w:rPr>
                <w:sz w:val="22"/>
              </w:rPr>
              <w:t>Cash</w:t>
            </w:r>
          </w:p>
          <w:p>
            <w:pPr>
              <w:pStyle w:val="Normal"/>
              <w:rPr>
                <w:sz w:val="22"/>
              </w:rPr>
            </w:pPr>
            <w:r>
              <w:rPr>
                <w:sz w:val="22"/>
              </w:rPr>
            </w:r>
          </w:p>
        </w:tc>
        <w:tc>
          <w:tcPr>
            <w:tcW w:w="1440" w:type="dxa"/>
            <w:tcBorders/>
          </w:tcPr>
          <w:p>
            <w:pPr>
              <w:pStyle w:val="Normal"/>
              <w:jc w:val="center"/>
              <w:rPr>
                <w:sz w:val="22"/>
              </w:rPr>
            </w:pPr>
            <w:r>
              <w:rPr>
                <w:sz w:val="22"/>
              </w:rPr>
              <w:t>[X]</w:t>
            </w:r>
          </w:p>
        </w:tc>
        <w:tc>
          <w:tcPr>
            <w:tcW w:w="1440" w:type="dxa"/>
            <w:tcBorders/>
          </w:tcPr>
          <w:p>
            <w:pPr>
              <w:pStyle w:val="Normal"/>
              <w:jc w:val="center"/>
              <w:rPr>
                <w:sz w:val="22"/>
              </w:rPr>
            </w:pPr>
            <w:r>
              <w:rPr>
                <w:sz w:val="22"/>
              </w:rPr>
              <w:t>[X]</w:t>
            </w:r>
          </w:p>
        </w:tc>
        <w:tc>
          <w:tcPr>
            <w:tcW w:w="1365" w:type="dxa"/>
            <w:tcBorders/>
          </w:tcPr>
          <w:p>
            <w:pPr>
              <w:pStyle w:val="Normal"/>
              <w:jc w:val="center"/>
              <w:rPr>
                <w:sz w:val="22"/>
              </w:rPr>
            </w:pPr>
            <w:r>
              <w:rPr>
                <w:sz w:val="22"/>
              </w:rPr>
              <w:t>100%</w:t>
            </w:r>
          </w:p>
        </w:tc>
      </w:tr>
      <w:tr>
        <w:trPr/>
        <w:tc>
          <w:tcPr>
            <w:tcW w:w="630" w:type="dxa"/>
            <w:tcBorders/>
          </w:tcPr>
          <w:p>
            <w:pPr>
              <w:pStyle w:val="Normal"/>
              <w:jc w:val="both"/>
              <w:rPr>
                <w:sz w:val="22"/>
              </w:rPr>
            </w:pPr>
            <w:r>
              <w:rPr>
                <w:sz w:val="22"/>
              </w:rPr>
              <w:t>(B)</w:t>
            </w:r>
          </w:p>
        </w:tc>
        <w:tc>
          <w:tcPr>
            <w:tcW w:w="2880" w:type="dxa"/>
            <w:tcBorders/>
          </w:tcPr>
          <w:p>
            <w:pPr>
              <w:pStyle w:val="Normal"/>
              <w:rPr>
                <w:sz w:val="22"/>
              </w:rPr>
            </w:pPr>
            <w:r>
              <w:rPr>
                <w:sz w:val="22"/>
              </w:rPr>
              <w:t>Negotiable debt obligations issued by the U.S. Treasury Department having an original maturity at issuance of not more than one year (“Government Obligations”)</w:t>
            </w:r>
          </w:p>
          <w:p>
            <w:pPr>
              <w:pStyle w:val="Normal"/>
              <w:rPr>
                <w:sz w:val="22"/>
              </w:rPr>
            </w:pPr>
            <w:r>
              <w:rPr>
                <w:sz w:val="22"/>
              </w:rPr>
            </w:r>
          </w:p>
        </w:tc>
        <w:tc>
          <w:tcPr>
            <w:tcW w:w="1440" w:type="dxa"/>
            <w:tcBorders/>
          </w:tcPr>
          <w:p>
            <w:pPr>
              <w:pStyle w:val="Normal"/>
              <w:jc w:val="center"/>
              <w:rPr>
                <w:sz w:val="22"/>
              </w:rPr>
            </w:pPr>
            <w:r>
              <w:rPr>
                <w:sz w:val="22"/>
              </w:rPr>
              <w:t>[  ]</w:t>
            </w:r>
          </w:p>
        </w:tc>
        <w:tc>
          <w:tcPr>
            <w:tcW w:w="1440" w:type="dxa"/>
            <w:tcBorders/>
          </w:tcPr>
          <w:p>
            <w:pPr>
              <w:pStyle w:val="Normal"/>
              <w:jc w:val="center"/>
              <w:rPr>
                <w:sz w:val="22"/>
              </w:rPr>
            </w:pPr>
            <w:r>
              <w:rPr>
                <w:sz w:val="22"/>
              </w:rPr>
              <w:t>[  ]</w:t>
            </w:r>
          </w:p>
        </w:tc>
        <w:tc>
          <w:tcPr>
            <w:tcW w:w="1365" w:type="dxa"/>
            <w:tcBorders/>
          </w:tcPr>
          <w:p>
            <w:pPr>
              <w:pStyle w:val="Normal"/>
              <w:jc w:val="center"/>
              <w:rPr>
                <w:sz w:val="22"/>
              </w:rPr>
            </w:pPr>
            <w:r>
              <w:rPr>
                <w:sz w:val="22"/>
              </w:rPr>
              <w:t>98%</w:t>
            </w:r>
          </w:p>
        </w:tc>
      </w:tr>
      <w:tr>
        <w:trPr/>
        <w:tc>
          <w:tcPr>
            <w:tcW w:w="630" w:type="dxa"/>
            <w:tcBorders/>
          </w:tcPr>
          <w:p>
            <w:pPr>
              <w:pStyle w:val="Normal"/>
              <w:jc w:val="both"/>
              <w:rPr>
                <w:sz w:val="22"/>
              </w:rPr>
            </w:pPr>
            <w:r>
              <w:rPr>
                <w:sz w:val="22"/>
              </w:rPr>
              <w:t>(C)</w:t>
            </w:r>
          </w:p>
        </w:tc>
        <w:tc>
          <w:tcPr>
            <w:tcW w:w="2880" w:type="dxa"/>
            <w:tcBorders/>
          </w:tcPr>
          <w:p>
            <w:pPr>
              <w:pStyle w:val="Normal"/>
              <w:rPr>
                <w:sz w:val="22"/>
              </w:rPr>
            </w:pPr>
            <w:r>
              <w:rPr>
                <w:sz w:val="22"/>
              </w:rPr>
              <w:t>Other:</w:t>
              <w:tab/>
              <w:t>None</w:t>
            </w:r>
          </w:p>
          <w:p>
            <w:pPr>
              <w:pStyle w:val="Normal"/>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365" w:type="dxa"/>
            <w:tcBorders/>
          </w:tcPr>
          <w:p>
            <w:pPr>
              <w:pStyle w:val="Normal"/>
              <w:snapToGrid w:val="false"/>
              <w:jc w:val="center"/>
              <w:rPr>
                <w:sz w:val="22"/>
              </w:rPr>
            </w:pPr>
            <w:r>
              <w:rPr>
                <w:sz w:val="22"/>
              </w:rPr>
            </w:r>
          </w:p>
        </w:tc>
      </w:tr>
    </w:tbl>
    <w:p>
      <w:pPr>
        <w:pStyle w:val="Normal"/>
        <w:ind w:start="1440" w:end="0"/>
        <w:jc w:val="both"/>
        <w:rPr>
          <w:sz w:val="22"/>
        </w:rPr>
      </w:pPr>
      <w:r>
        <w:rPr>
          <w:sz w:val="22"/>
        </w:rPr>
      </w:r>
    </w:p>
    <w:p>
      <w:pPr>
        <w:pStyle w:val="Normal"/>
        <w:ind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w:t>
      </w:r>
    </w:p>
    <w:p>
      <w:pPr>
        <w:pStyle w:val="Normal"/>
        <w:ind w:start="720" w:end="0"/>
        <w:jc w:val="both"/>
        <w:rPr>
          <w:b/>
          <w:sz w:val="22"/>
        </w:rPr>
      </w:pPr>
      <w:r>
        <w:rPr>
          <w:b/>
          <w:sz w:val="22"/>
        </w:rPr>
      </w:r>
    </w:p>
    <w:p>
      <w:pPr>
        <w:pStyle w:val="Normal"/>
        <w:ind w:start="1440" w:end="0"/>
        <w:jc w:val="both"/>
        <w:rPr>
          <w:sz w:val="22"/>
        </w:rPr>
      </w:pPr>
      <w:r>
        <w:rPr>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Normal"/>
              <w:keepNext w:val="true"/>
              <w:keepLines/>
              <w:snapToGrid w:val="false"/>
              <w:jc w:val="both"/>
              <w:rPr>
                <w:sz w:val="22"/>
              </w:rPr>
            </w:pPr>
            <w:r>
              <w:rPr>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p>
            <w:pPr>
              <w:pStyle w:val="Normal"/>
              <w:keepNext w:val="true"/>
              <w:keepLines/>
              <w:jc w:val="center"/>
              <w:rPr>
                <w:b/>
                <w:sz w:val="22"/>
              </w:rPr>
            </w:pPr>
            <w:r>
              <w:rPr>
                <w:b/>
                <w:sz w:val="22"/>
              </w:rPr>
            </w:r>
          </w:p>
        </w:tc>
        <w:tc>
          <w:tcPr>
            <w:tcW w:w="1644"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p>
            <w:pPr>
              <w:pStyle w:val="Normal"/>
              <w:keepNext w:val="true"/>
              <w:keepLines/>
              <w:jc w:val="center"/>
              <w:rPr>
                <w:b/>
                <w:sz w:val="22"/>
              </w:rPr>
            </w:pPr>
            <w:r>
              <w:rPr>
                <w:b/>
                <w:sz w:val="22"/>
              </w:rPr>
            </w:r>
          </w:p>
        </w:tc>
        <w:tc>
          <w:tcPr>
            <w:tcW w:w="3757"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1800" w:type="dxa"/>
            <w:tcBorders/>
          </w:tcPr>
          <w:p>
            <w:pPr>
              <w:pStyle w:val="Normal"/>
              <w:keepNext w:val="true"/>
              <w:keepLines/>
              <w:jc w:val="both"/>
              <w:rPr>
                <w:sz w:val="22"/>
              </w:rPr>
            </w:pPr>
            <w:r>
              <w:rPr>
                <w:sz w:val="22"/>
              </w:rPr>
              <w:t>Letters of Credit</w:t>
            </w:r>
          </w:p>
        </w:tc>
        <w:tc>
          <w:tcPr>
            <w:tcW w:w="1440" w:type="dxa"/>
            <w:tcBorders/>
          </w:tcPr>
          <w:p>
            <w:pPr>
              <w:pStyle w:val="Normal"/>
              <w:keepNext w:val="true"/>
              <w:keepLines/>
              <w:jc w:val="center"/>
              <w:rPr>
                <w:sz w:val="22"/>
              </w:rPr>
            </w:pPr>
            <w:r>
              <w:rPr>
                <w:sz w:val="22"/>
              </w:rPr>
              <w:t>[X]</w:t>
            </w:r>
          </w:p>
        </w:tc>
        <w:tc>
          <w:tcPr>
            <w:tcW w:w="1644" w:type="dxa"/>
            <w:tcBorders/>
          </w:tcPr>
          <w:p>
            <w:pPr>
              <w:pStyle w:val="Normal"/>
              <w:keepNext w:val="true"/>
              <w:keepLines/>
              <w:jc w:val="center"/>
              <w:rPr>
                <w:sz w:val="22"/>
              </w:rPr>
            </w:pPr>
            <w:r>
              <w:rPr>
                <w:sz w:val="22"/>
              </w:rPr>
              <w:t>[X]</w:t>
            </w:r>
          </w:p>
        </w:tc>
        <w:tc>
          <w:tcPr>
            <w:tcW w:w="3757" w:type="dxa"/>
            <w:tcBorders/>
          </w:tcPr>
          <w:p>
            <w:pPr>
              <w:pStyle w:val="Justified"/>
              <w:keepNext w:val="true"/>
              <w:keepLines/>
              <w:widowControl/>
              <w:spacing w:before="0" w:after="0"/>
              <w:rPr>
                <w:rFonts w:ascii="Times New Roman" w:hAnsi="Times New Roman" w:cs="Times New Roman"/>
              </w:rPr>
            </w:pPr>
            <w:r>
              <w:rPr>
                <w:rFonts w:cs="Times New Roman" w:ascii="Times New Roman" w:hAnsi="Times New Roman"/>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sz w:val="22"/>
        </w:rPr>
      </w:pPr>
      <w:r>
        <w:rPr>
          <w:sz w:val="22"/>
        </w:rPr>
      </w:r>
    </w:p>
    <w:p>
      <w:pPr>
        <w:pStyle w:val="Normal"/>
        <w:ind w:start="720" w:end="0"/>
        <w:jc w:val="both"/>
        <w:rPr/>
      </w:pPr>
      <w:r>
        <w:rPr>
          <w:sz w:val="22"/>
        </w:rPr>
        <w:t xml:space="preserve">(iv)  </w:t>
      </w:r>
      <w:r>
        <w:rPr>
          <w:b/>
          <w:sz w:val="22"/>
        </w:rPr>
        <w:t>Thresholds.</w:t>
      </w:r>
    </w:p>
    <w:p>
      <w:pPr>
        <w:pStyle w:val="Normal"/>
        <w:ind w:hanging="720" w:start="1440" w:end="0"/>
        <w:jc w:val="both"/>
        <w:rPr>
          <w:b/>
          <w:sz w:val="22"/>
        </w:rPr>
      </w:pPr>
      <w:r>
        <w:rPr>
          <w:b/>
          <w:sz w:val="22"/>
        </w:rPr>
      </w:r>
    </w:p>
    <w:p>
      <w:pPr>
        <w:pStyle w:val="Normal"/>
        <w:ind w:start="720" w:end="0"/>
        <w:jc w:val="both"/>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w:t>
      </w:r>
    </w:p>
    <w:p>
      <w:pPr>
        <w:pStyle w:val="Normal"/>
        <w:ind w:start="720" w:end="0"/>
        <w:jc w:val="both"/>
        <w:rPr>
          <w:sz w:val="22"/>
        </w:rPr>
      </w:pPr>
      <w:r>
        <w:rPr>
          <w:sz w:val="22"/>
        </w:rPr>
      </w:r>
    </w:p>
    <w:p>
      <w:pPr>
        <w:pStyle w:val="Normal"/>
        <w:ind w:start="720" w:end="0"/>
        <w:jc w:val="both"/>
        <w:rPr>
          <w:b/>
          <w:color w:val="000000"/>
          <w:sz w:val="22"/>
        </w:rPr>
      </w:pPr>
      <w:r>
        <w:rPr>
          <w:color w:val="000000"/>
          <w:sz w:val="22"/>
        </w:rPr>
        <w:t xml:space="preserve">(B)  </w:t>
      </w:r>
      <w:r>
        <w:rPr>
          <w:b/>
          <w:color w:val="000000"/>
          <w:sz w:val="22"/>
        </w:rPr>
        <w:t>“Threshold”</w:t>
      </w:r>
      <w:r>
        <w:rPr>
          <w:color w:val="000000"/>
          <w:sz w:val="22"/>
        </w:rPr>
        <w:t xml:space="preserve"> means with respect to Party A, U.S. $25,000,000 and with respect to Party B, zero; provided, however, that the Threshold for Party A shall be zero upon the occurrence and during the continuance of a Material Adverse Change or an Event of Default or Potential Event of Default with respect to Party A.  </w:t>
      </w:r>
    </w:p>
    <w:p>
      <w:pPr>
        <w:pStyle w:val="Normal"/>
        <w:ind w:start="720" w:end="0"/>
        <w:jc w:val="both"/>
        <w:rPr>
          <w:b/>
          <w:color w:val="000000"/>
          <w:sz w:val="22"/>
        </w:rPr>
      </w:pPr>
      <w:r>
        <w:rPr>
          <w:b/>
          <w:color w:val="000000"/>
          <w:sz w:val="22"/>
        </w:rPr>
      </w:r>
    </w:p>
    <w:p>
      <w:pPr>
        <w:pStyle w:val="Normal"/>
        <w:ind w:start="720" w:end="0"/>
        <w:jc w:val="both"/>
        <w:rPr/>
      </w:pPr>
      <w:r>
        <w:rPr>
          <w:sz w:val="22"/>
        </w:rPr>
        <w:t xml:space="preserve">(C)  </w:t>
      </w:r>
      <w:r>
        <w:rPr>
          <w:b/>
          <w:sz w:val="22"/>
        </w:rPr>
        <w:t>“Minimum Transfer Amount”</w:t>
      </w:r>
      <w:r>
        <w:rPr>
          <w:sz w:val="22"/>
        </w:rPr>
        <w:t xml:space="preserve"> means with respect to Party A:  U.S. $1.</w:t>
      </w:r>
    </w:p>
    <w:p>
      <w:pPr>
        <w:pStyle w:val="Normal"/>
        <w:ind w:start="720" w:end="0"/>
        <w:jc w:val="both"/>
        <w:rPr>
          <w:sz w:val="22"/>
        </w:rPr>
      </w:pPr>
      <w:r>
        <w:rPr>
          <w:sz w:val="22"/>
        </w:rPr>
      </w:r>
    </w:p>
    <w:p>
      <w:pPr>
        <w:pStyle w:val="Normal"/>
        <w:ind w:firstLine="360" w:start="720" w:end="0"/>
        <w:jc w:val="both"/>
        <w:rPr/>
      </w:pPr>
      <w:r>
        <w:rPr>
          <w:b/>
          <w:sz w:val="22"/>
        </w:rPr>
        <w:t>“</w:t>
      </w:r>
      <w:r>
        <w:rPr>
          <w:b/>
          <w:sz w:val="22"/>
        </w:rPr>
        <w:t>Minimum Transfer Amount”</w:t>
      </w:r>
      <w:r>
        <w:rPr>
          <w:sz w:val="22"/>
        </w:rPr>
        <w:t xml:space="preserve"> means with respect to Party B:  U.S. $1.</w:t>
      </w:r>
    </w:p>
    <w:p>
      <w:pPr>
        <w:pStyle w:val="Normal"/>
        <w:ind w:start="720" w:end="0"/>
        <w:jc w:val="both"/>
        <w:rPr>
          <w:sz w:val="22"/>
        </w:rPr>
      </w:pPr>
      <w:r>
        <w:rPr>
          <w:sz w:val="22"/>
        </w:rPr>
      </w:r>
    </w:p>
    <w:p>
      <w:pPr>
        <w:pStyle w:val="Normal"/>
        <w:ind w:start="720" w:end="0"/>
        <w:jc w:val="both"/>
        <w:rPr/>
      </w:pPr>
      <w:r>
        <w:rPr>
          <w:sz w:val="22"/>
        </w:rPr>
        <w:t xml:space="preserve">(D)  </w:t>
      </w:r>
      <w:r>
        <w:rPr>
          <w:b/>
          <w:sz w:val="22"/>
        </w:rPr>
        <w:t>Rounding.</w:t>
      </w:r>
      <w:r>
        <w:rPr>
          <w:sz w:val="22"/>
        </w:rPr>
        <w:t xml:space="preserve">  The Delivery Amount will be rounded up to the nearest integral multiple of U.S. </w:t>
      </w:r>
      <w:r>
        <w:rPr>
          <w:color w:val="000000"/>
          <w:sz w:val="22"/>
        </w:rPr>
        <w:t xml:space="preserve">$250,000 </w:t>
      </w:r>
      <w:r>
        <w:rPr>
          <w:sz w:val="22"/>
        </w:rPr>
        <w:t xml:space="preserve">and the Return Amount will be rounded down to the nearest integral multiple of U.S. </w:t>
      </w:r>
      <w:r>
        <w:rPr>
          <w:color w:val="000000"/>
          <w:sz w:val="22"/>
        </w:rPr>
        <w:t>$250,000.</w:t>
      </w:r>
    </w:p>
    <w:p>
      <w:pPr>
        <w:pStyle w:val="Normal"/>
        <w:ind w:hanging="720" w:start="720" w:end="0"/>
        <w:jc w:val="both"/>
        <w:rPr>
          <w:color w:val="000000"/>
          <w:sz w:val="22"/>
        </w:rPr>
      </w:pPr>
      <w:r>
        <w:rPr>
          <w:color w:val="000000"/>
          <w:sz w:val="22"/>
        </w:rPr>
      </w:r>
    </w:p>
    <w:p>
      <w:pPr>
        <w:pStyle w:val="Normal"/>
        <w:ind w:hanging="720" w:start="720" w:end="0"/>
        <w:jc w:val="both"/>
        <w:rPr>
          <w:sz w:val="22"/>
        </w:rPr>
      </w:pPr>
      <w:r>
        <w:rPr>
          <w:sz w:val="22"/>
        </w:rPr>
        <w:t xml:space="preserve">(c)  </w:t>
      </w:r>
      <w:r>
        <w:rPr>
          <w:b/>
          <w:sz w:val="22"/>
        </w:rPr>
        <w:t>Valuation and Timing.</w:t>
      </w:r>
    </w:p>
    <w:p>
      <w:pPr>
        <w:pStyle w:val="Normal"/>
        <w:spacing w:before="240" w:after="0"/>
        <w:ind w:start="720" w:end="0"/>
        <w:jc w:val="both"/>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rPr>
      </w:pPr>
      <w:r>
        <w:rPr>
          <w:sz w:val="22"/>
        </w:rPr>
      </w:r>
    </w:p>
    <w:p>
      <w:pPr>
        <w:pStyle w:val="Normal"/>
        <w:ind w:start="720" w:end="0"/>
        <w:jc w:val="both"/>
        <w:rPr/>
      </w:pPr>
      <w:r>
        <w:rPr>
          <w:sz w:val="22"/>
        </w:rPr>
        <w:t xml:space="preserve">(ii)  </w:t>
      </w:r>
      <w:r>
        <w:rPr>
          <w:b/>
          <w:sz w:val="22"/>
        </w:rPr>
        <w:t>“Valuation Date”</w:t>
      </w:r>
      <w:r>
        <w:rPr>
          <w:sz w:val="22"/>
        </w:rPr>
        <w:t xml:space="preserve"> means any Local Business Day.</w:t>
      </w:r>
    </w:p>
    <w:p>
      <w:pPr>
        <w:pStyle w:val="Normal"/>
        <w:ind w:start="720" w:end="0"/>
        <w:jc w:val="both"/>
        <w:rPr>
          <w:sz w:val="22"/>
        </w:rPr>
      </w:pPr>
      <w:r>
        <w:rPr>
          <w:sz w:val="22"/>
        </w:rPr>
      </w:r>
    </w:p>
    <w:p>
      <w:pPr>
        <w:pStyle w:val="Normal"/>
        <w:ind w:start="720" w:end="0"/>
        <w:jc w:val="both"/>
        <w:rPr/>
      </w:pPr>
      <w:r>
        <w:rPr>
          <w:sz w:val="22"/>
        </w:rPr>
        <w:t xml:space="preserve">(iii)  </w:t>
      </w:r>
      <w:r>
        <w:rPr>
          <w:b/>
          <w:sz w:val="22"/>
        </w:rPr>
        <w:t>“Valuation Time”</w:t>
      </w:r>
      <w:r>
        <w:rPr>
          <w:sz w:val="22"/>
        </w:rPr>
        <w:t xml:space="preserve"> means:</w:t>
      </w:r>
    </w:p>
    <w:p>
      <w:pPr>
        <w:pStyle w:val="Normal"/>
        <w:ind w:hanging="720" w:start="1440" w:end="0"/>
        <w:jc w:val="both"/>
        <w:rPr>
          <w:sz w:val="22"/>
        </w:rPr>
      </w:pPr>
      <w:r>
        <w:rPr>
          <w:sz w:val="22"/>
        </w:rPr>
      </w:r>
    </w:p>
    <w:p>
      <w:pPr>
        <w:pStyle w:val="Normal"/>
        <w:ind w:hanging="360" w:start="1440" w:end="0"/>
        <w:jc w:val="both"/>
        <w:rPr>
          <w:sz w:val="22"/>
        </w:rPr>
      </w:pPr>
      <w:r>
        <w:rPr>
          <w:sz w:val="22"/>
        </w:rPr>
        <w:t>[  ]  the close of business in the city of the Valuation Agent on the Valuation Date or date of calculation, as applicable;</w:t>
      </w:r>
    </w:p>
    <w:p>
      <w:pPr>
        <w:pStyle w:val="Normal"/>
        <w:ind w:hanging="360" w:start="1440" w:end="0"/>
        <w:jc w:val="both"/>
        <w:rPr>
          <w:sz w:val="22"/>
        </w:rPr>
      </w:pPr>
      <w:r>
        <w:rPr>
          <w:sz w:val="22"/>
        </w:rPr>
      </w:r>
    </w:p>
    <w:p>
      <w:pPr>
        <w:pStyle w:val="Normal"/>
        <w:ind w:hanging="360" w:start="1440" w:end="0"/>
        <w:jc w:val="both"/>
        <w:rPr>
          <w:sz w:val="22"/>
        </w:rPr>
      </w:pPr>
      <w:r>
        <w:rPr>
          <w:sz w:val="22"/>
        </w:rPr>
        <w:t>[X]  the close of business in the city of the Valuation Agent on the Local Business Day before the Valuation Date or date of calculation, as applicable;</w:t>
      </w:r>
    </w:p>
    <w:p>
      <w:pPr>
        <w:pStyle w:val="Normal"/>
        <w:ind w:start="720" w:end="0"/>
        <w:jc w:val="both"/>
        <w:rPr>
          <w:sz w:val="22"/>
        </w:rPr>
      </w:pPr>
      <w:r>
        <w:rPr>
          <w:sz w:val="22"/>
        </w:rPr>
      </w:r>
    </w:p>
    <w:p>
      <w:pPr>
        <w:pStyle w:val="Normal"/>
        <w:ind w:start="720" w:end="0"/>
        <w:jc w:val="both"/>
        <w:rPr>
          <w:sz w:val="22"/>
        </w:rPr>
      </w:pPr>
      <w:r>
        <w:rPr>
          <w:sz w:val="22"/>
        </w:rPr>
        <w:t>provided that the calculations of Value and Exposure will be made as of approximately the same time on the same date.</w:t>
      </w:r>
    </w:p>
    <w:p>
      <w:pPr>
        <w:pStyle w:val="Normal"/>
        <w:ind w:start="360" w:end="0"/>
        <w:jc w:val="both"/>
        <w:rPr>
          <w:sz w:val="22"/>
        </w:rPr>
      </w:pPr>
      <w:r>
        <w:rPr>
          <w:sz w:val="22"/>
        </w:rPr>
      </w:r>
    </w:p>
    <w:p>
      <w:pPr>
        <w:pStyle w:val="Normal"/>
        <w:ind w:start="720" w:end="0"/>
        <w:jc w:val="both"/>
        <w:rPr/>
      </w:pPr>
      <w:r>
        <w:rPr>
          <w:sz w:val="22"/>
        </w:rPr>
        <w:t>(iv)  “</w:t>
      </w:r>
      <w:r>
        <w:rPr>
          <w:b/>
          <w:sz w:val="22"/>
        </w:rPr>
        <w:t>Notification Time”</w:t>
      </w:r>
      <w:r>
        <w:rPr>
          <w:sz w:val="22"/>
        </w:rPr>
        <w:t xml:space="preserve"> means 10:00 a.m., New York time, on a Local Business Day:</w:t>
      </w:r>
    </w:p>
    <w:p>
      <w:pPr>
        <w:pStyle w:val="Normal"/>
        <w:ind w:hanging="720" w:start="720" w:end="0"/>
        <w:jc w:val="both"/>
        <w:rPr>
          <w:sz w:val="22"/>
        </w:rPr>
      </w:pPr>
      <w:r>
        <w:rPr>
          <w:sz w:val="22"/>
        </w:rPr>
      </w:r>
    </w:p>
    <w:p>
      <w:pPr>
        <w:pStyle w:val="Normal"/>
        <w:ind w:hanging="720" w:start="720" w:end="0"/>
        <w:jc w:val="both"/>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ind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sz w:val="22"/>
              </w:rPr>
            </w:pPr>
            <w:r>
              <w:rPr>
                <w:b/>
                <w:sz w:val="22"/>
              </w:rPr>
              <w:t>Specified Condition</w:t>
            </w:r>
          </w:p>
        </w:tc>
        <w:tc>
          <w:tcPr>
            <w:tcW w:w="1280" w:type="dxa"/>
            <w:tcBorders/>
          </w:tcPr>
          <w:p>
            <w:pPr>
              <w:pStyle w:val="Normal"/>
              <w:jc w:val="center"/>
              <w:rPr>
                <w:b/>
                <w:sz w:val="22"/>
              </w:rPr>
            </w:pPr>
            <w:r>
              <w:rPr>
                <w:b/>
                <w:sz w:val="22"/>
              </w:rPr>
              <w:t>Party A</w:t>
            </w:r>
          </w:p>
        </w:tc>
        <w:tc>
          <w:tcPr>
            <w:tcW w:w="1280" w:type="dxa"/>
            <w:tcBorders/>
          </w:tcPr>
          <w:p>
            <w:pPr>
              <w:pStyle w:val="Normal"/>
              <w:jc w:val="center"/>
              <w:rPr>
                <w:b/>
                <w:sz w:val="22"/>
              </w:rPr>
            </w:pPr>
            <w:r>
              <w:rPr>
                <w:b/>
                <w:sz w:val="22"/>
              </w:rPr>
              <w:t>Party B</w:t>
            </w:r>
          </w:p>
          <w:p>
            <w:pPr>
              <w:pStyle w:val="Normal"/>
              <w:jc w:val="center"/>
              <w:rPr>
                <w:b/>
                <w:sz w:val="22"/>
              </w:rPr>
            </w:pPr>
            <w:r>
              <w:rPr>
                <w:b/>
                <w:sz w:val="22"/>
              </w:rPr>
            </w:r>
          </w:p>
        </w:tc>
      </w:tr>
      <w:tr>
        <w:trPr/>
        <w:tc>
          <w:tcPr>
            <w:tcW w:w="3600" w:type="dxa"/>
            <w:tcBorders/>
          </w:tcPr>
          <w:p>
            <w:pPr>
              <w:pStyle w:val="Normal"/>
              <w:ind w:start="-18" w:end="0"/>
              <w:rPr>
                <w:sz w:val="22"/>
              </w:rPr>
            </w:pPr>
            <w:r>
              <w:rPr>
                <w:sz w:val="22"/>
              </w:rPr>
              <w:t>Illegality</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Credit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Additional Termination Event(s):</w:t>
            </w:r>
          </w:p>
          <w:p>
            <w:pPr>
              <w:pStyle w:val="Normal"/>
              <w:ind w:start="-18" w:end="0"/>
              <w:rPr>
                <w:sz w:val="22"/>
              </w:rPr>
            </w:pPr>
            <w:r>
              <w:rPr>
                <w:sz w:val="22"/>
              </w:rPr>
            </w:r>
          </w:p>
        </w:tc>
        <w:tc>
          <w:tcPr>
            <w:tcW w:w="1280" w:type="dxa"/>
            <w:tcBorders/>
          </w:tcPr>
          <w:p>
            <w:pPr>
              <w:pStyle w:val="Normal"/>
              <w:jc w:val="center"/>
              <w:rPr>
                <w:sz w:val="22"/>
              </w:rPr>
            </w:pPr>
            <w:r>
              <w:rPr>
                <w:sz w:val="22"/>
              </w:rPr>
              <w:t>None</w:t>
            </w:r>
          </w:p>
        </w:tc>
        <w:tc>
          <w:tcPr>
            <w:tcW w:w="1280" w:type="dxa"/>
            <w:tcBorders/>
          </w:tcPr>
          <w:p>
            <w:pPr>
              <w:pStyle w:val="Normal"/>
              <w:jc w:val="center"/>
              <w:rPr>
                <w:sz w:val="22"/>
              </w:rPr>
            </w:pPr>
            <w:r>
              <w:rPr>
                <w:sz w:val="22"/>
              </w:rPr>
              <w:t>None</w:t>
            </w:r>
          </w:p>
        </w:tc>
      </w:tr>
    </w:tbl>
    <w:p>
      <w:pPr>
        <w:pStyle w:val="Normal"/>
        <w:ind w:hanging="720" w:start="720" w:end="0"/>
        <w:jc w:val="both"/>
        <w:rPr>
          <w:sz w:val="22"/>
        </w:rPr>
      </w:pPr>
      <w:r>
        <w:rPr>
          <w:sz w:val="22"/>
        </w:rPr>
      </w:r>
    </w:p>
    <w:p>
      <w:pPr>
        <w:pStyle w:val="Normal"/>
        <w:ind w:hanging="720" w:start="720" w:end="0"/>
        <w:jc w:val="both"/>
        <w:rPr>
          <w:sz w:val="22"/>
        </w:rPr>
      </w:pPr>
      <w:r>
        <w:rPr>
          <w:sz w:val="22"/>
        </w:rPr>
        <w:t xml:space="preserve">(e)  </w:t>
      </w:r>
      <w:r>
        <w:rPr>
          <w:b/>
          <w:sz w:val="22"/>
        </w:rPr>
        <w:t>Substitution.</w:t>
      </w:r>
    </w:p>
    <w:p>
      <w:pPr>
        <w:pStyle w:val="Normal"/>
        <w:ind w:hanging="720" w:start="720" w:end="0"/>
        <w:jc w:val="both"/>
        <w:rPr>
          <w:sz w:val="22"/>
        </w:rPr>
      </w:pPr>
      <w:r>
        <w:rPr>
          <w:sz w:val="22"/>
        </w:rPr>
      </w:r>
    </w:p>
    <w:p>
      <w:pPr>
        <w:pStyle w:val="Normal"/>
        <w:ind w:hanging="720" w:start="1440" w:end="0"/>
        <w:jc w:val="both"/>
        <w:rPr/>
      </w:pPr>
      <w:r>
        <w:rPr>
          <w:sz w:val="22"/>
        </w:rPr>
        <w:t xml:space="preserve">(i)  </w:t>
      </w:r>
      <w:r>
        <w:rPr>
          <w:b/>
          <w:sz w:val="22"/>
        </w:rPr>
        <w:t>“Substitution Date”</w:t>
      </w:r>
      <w:r>
        <w:rPr>
          <w:sz w:val="22"/>
        </w:rPr>
        <w:t xml:space="preserve"> has the meaning specified in Paragraph 4(d)(ii).</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(f)  </w:t>
      </w:r>
      <w:r>
        <w:rPr>
          <w:b/>
          <w:sz w:val="22"/>
        </w:rPr>
        <w:t>Dispute Resolution.</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“Resolution Time”</w:t>
      </w:r>
      <w:r>
        <w:rPr>
          <w:sz w:val="22"/>
        </w:rPr>
        <w:t xml:space="preserve"> means 1:00 p.m., New York time, on the third Local Business Day following the date on which notice of the dispute is given under Paragraph 5.</w:t>
      </w:r>
    </w:p>
    <w:p>
      <w:pPr>
        <w:pStyle w:val="Normal"/>
        <w:ind w:start="720" w:end="0"/>
        <w:jc w:val="both"/>
        <w:rPr>
          <w:sz w:val="22"/>
        </w:rPr>
      </w:pPr>
      <w:r>
        <w:rPr>
          <w:sz w:val="22"/>
        </w:rPr>
      </w:r>
    </w:p>
    <w:p>
      <w:pPr>
        <w:pStyle w:val="Normal"/>
        <w:ind w:start="720" w:end="0"/>
        <w:jc w:val="both"/>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w:t>
      </w:r>
    </w:p>
    <w:p>
      <w:pPr>
        <w:pStyle w:val="Normal"/>
        <w:ind w:start="720" w:end="0"/>
        <w:jc w:val="both"/>
        <w:rPr>
          <w:sz w:val="22"/>
        </w:rPr>
      </w:pPr>
      <w:r>
        <w:rPr>
          <w:sz w:val="22"/>
        </w:rPr>
      </w:r>
    </w:p>
    <w:p>
      <w:pPr>
        <w:pStyle w:val="Normal"/>
        <w:ind w:start="1080" w:end="0"/>
        <w:jc w:val="both"/>
        <w:rPr>
          <w:sz w:val="22"/>
        </w:rPr>
      </w:pPr>
      <w:r>
        <w:rPr>
          <w:sz w:val="22"/>
        </w:rPr>
        <w:t>(1)  With respect to cash, the face amount thereof; and</w:t>
      </w:r>
    </w:p>
    <w:p>
      <w:pPr>
        <w:pStyle w:val="Normal"/>
        <w:ind w:start="1080" w:end="0"/>
        <w:jc w:val="both"/>
        <w:rPr>
          <w:sz w:val="22"/>
        </w:rPr>
      </w:pPr>
      <w:r>
        <w:rPr>
          <w:sz w:val="22"/>
        </w:rPr>
      </w:r>
    </w:p>
    <w:p>
      <w:pPr>
        <w:pStyle w:val="Normal"/>
        <w:ind w:start="1080" w:end="0"/>
        <w:jc w:val="both"/>
        <w:rPr/>
      </w:pPr>
      <w:r>
        <w:rPr>
          <w:sz w:val="22"/>
        </w:rPr>
        <w:t xml:space="preserve">(2)  With respect to any Government Obligations, the sum of (A)(x) the mean of the high bid and low asked prices quoted on such date by two principal market makers of recognized national standing (each a </w:t>
      </w:r>
      <w:r>
        <w:rPr>
          <w:b/>
          <w:sz w:val="22"/>
        </w:rPr>
        <w:t>“Principal Market Maker”</w:t>
      </w:r>
      <w:r>
        <w:rPr>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720" w:end="0"/>
        <w:jc w:val="both"/>
        <w:rPr>
          <w:sz w:val="22"/>
        </w:rPr>
      </w:pPr>
      <w:r>
        <w:rPr>
          <w:sz w:val="22"/>
        </w:rPr>
      </w:r>
    </w:p>
    <w:p>
      <w:pPr>
        <w:pStyle w:val="Normal"/>
        <w:ind w:start="720" w:end="0"/>
        <w:jc w:val="both"/>
        <w:rPr/>
      </w:pP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rPr>
      </w:pPr>
      <w:r>
        <w:rPr>
          <w:sz w:val="22"/>
        </w:rPr>
      </w:r>
    </w:p>
    <w:p>
      <w:pPr>
        <w:pStyle w:val="Normal"/>
        <w:ind w:hanging="720" w:start="720" w:end="0"/>
        <w:jc w:val="both"/>
        <w:rPr>
          <w:sz w:val="22"/>
        </w:rPr>
      </w:pPr>
      <w:r>
        <w:rPr>
          <w:sz w:val="22"/>
        </w:rPr>
        <w:t>(g)</w:t>
        <w:tab/>
      </w:r>
      <w:r>
        <w:rPr>
          <w:b/>
          <w:sz w:val="22"/>
        </w:rPr>
        <w:t>Holding and Using Posted Collateral.</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Eligibility to Hold Posted Collateral; Custodians.</w:t>
      </w:r>
      <w:r>
        <w:rPr>
          <w:sz w:val="22"/>
        </w:rPr>
        <w:t xml:space="preserve">  Party A and its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ind w:start="900" w:end="0"/>
        <w:jc w:val="both"/>
        <w:rPr>
          <w:sz w:val="22"/>
        </w:rPr>
      </w:pPr>
      <w:r>
        <w:rPr>
          <w:sz w:val="22"/>
        </w:rPr>
      </w:r>
    </w:p>
    <w:p>
      <w:pPr>
        <w:pStyle w:val="Normal"/>
        <w:ind w:start="1080" w:end="0"/>
        <w:jc w:val="both"/>
        <w:rPr>
          <w:sz w:val="22"/>
        </w:rPr>
      </w:pPr>
      <w:r>
        <w:rPr>
          <w:sz w:val="22"/>
        </w:rPr>
        <w:t>(1)  Party A is not a Defaulting Party and Party A’s Credit Support Provider has a Credit Rating from S&amp;P and the lowest Credit Rating for Party A’s Credit Support Provider is “BBB-” or higher by S&amp;P.</w:t>
      </w:r>
    </w:p>
    <w:p>
      <w:pPr>
        <w:pStyle w:val="Normal"/>
        <w:ind w:start="1080" w:end="0"/>
        <w:jc w:val="both"/>
        <w:rPr>
          <w:sz w:val="22"/>
        </w:rPr>
      </w:pPr>
      <w:r>
        <w:rPr>
          <w:sz w:val="22"/>
        </w:rPr>
      </w:r>
    </w:p>
    <w:p>
      <w:pPr>
        <w:pStyle w:val="BodyTextIndent"/>
        <w:rPr/>
      </w:pPr>
      <w:r>
        <w:rPr/>
        <w:t>(2)  Posted Collateral may be held only in the following jurisdictions:  Any jurisdiction within the United States.</w:t>
      </w:r>
    </w:p>
    <w:p>
      <w:pPr>
        <w:pStyle w:val="Normal"/>
        <w:ind w:hanging="720" w:start="2160" w:end="0"/>
        <w:jc w:val="both"/>
        <w:rPr>
          <w:sz w:val="22"/>
        </w:rPr>
      </w:pPr>
      <w:r>
        <w:rPr>
          <w:sz w:val="22"/>
        </w:rPr>
      </w:r>
    </w:p>
    <w:p>
      <w:pPr>
        <w:pStyle w:val="Normal"/>
        <w:ind w:start="720" w:end="0"/>
        <w:jc w:val="both"/>
        <w:rPr/>
      </w:pPr>
      <w:r>
        <w:rPr>
          <w:sz w:val="22"/>
        </w:rPr>
        <w:t xml:space="preserve">Party B and its Custodian </w:t>
      </w:r>
      <w:r>
        <w:rPr>
          <w:color w:val="000000"/>
          <w:sz w:val="22"/>
        </w:rPr>
        <w:t>will</w:t>
      </w:r>
      <w:r>
        <w:rPr>
          <w:sz w:val="22"/>
        </w:rPr>
        <w:t xml:space="preserve"> be entitled to hold Posted Collateral pursuant to Paragraph 6(b); </w:t>
      </w:r>
      <w:r>
        <w:rPr>
          <w:sz w:val="22"/>
          <w:u w:val="single"/>
        </w:rPr>
        <w:t>provided that</w:t>
      </w:r>
      <w:r>
        <w:rPr>
          <w:sz w:val="22"/>
        </w:rPr>
        <w:t xml:space="preserve"> the following conditions applicable to it are satisfied:</w:t>
      </w:r>
    </w:p>
    <w:p>
      <w:pPr>
        <w:pStyle w:val="Normal"/>
        <w:ind w:hanging="720" w:start="2160" w:end="0"/>
        <w:jc w:val="both"/>
        <w:rPr>
          <w:sz w:val="22"/>
        </w:rPr>
      </w:pPr>
      <w:r>
        <w:rPr>
          <w:sz w:val="22"/>
        </w:rPr>
      </w:r>
    </w:p>
    <w:p>
      <w:pPr>
        <w:pStyle w:val="Normal"/>
        <w:numPr>
          <w:ilvl w:val="0"/>
          <w:numId w:val="3"/>
        </w:numPr>
        <w:jc w:val="both"/>
        <w:rPr>
          <w:sz w:val="22"/>
        </w:rPr>
      </w:pPr>
      <w:r>
        <w:rPr>
          <w:sz w:val="22"/>
        </w:rPr>
        <w:t>Party B is not a Defaulting Party and it has a Credit Rating</w:t>
      </w:r>
      <w:r>
        <w:rPr>
          <w:color w:val="000000"/>
          <w:sz w:val="22"/>
        </w:rPr>
        <w:t xml:space="preserve"> from S&amp;P</w:t>
      </w:r>
      <w:r>
        <w:rPr>
          <w:sz w:val="22"/>
        </w:rPr>
        <w:t xml:space="preserve"> and the lowest Credit Rating for it is “B” or higher by S&amp;P.</w:t>
      </w:r>
    </w:p>
    <w:p>
      <w:pPr>
        <w:pStyle w:val="Normal"/>
        <w:jc w:val="both"/>
        <w:rPr>
          <w:color w:val="FF0000"/>
          <w:sz w:val="22"/>
        </w:rPr>
      </w:pPr>
      <w:r>
        <w:rPr>
          <w:color w:val="FF0000"/>
          <w:sz w:val="22"/>
        </w:rPr>
      </w:r>
    </w:p>
    <w:p>
      <w:pPr>
        <w:pStyle w:val="Normal"/>
        <w:numPr>
          <w:ilvl w:val="0"/>
          <w:numId w:val="3"/>
        </w:numPr>
        <w:jc w:val="both"/>
        <w:rPr>
          <w:color w:val="FF0000"/>
          <w:sz w:val="22"/>
        </w:rPr>
      </w:pPr>
      <w:r>
        <w:rPr>
          <w:sz w:val="22"/>
        </w:rPr>
        <w:t xml:space="preserve"> </w:t>
      </w:r>
      <w:r>
        <w:rPr>
          <w:sz w:val="22"/>
        </w:rPr>
        <w:t>Posted Collateral may be held only in the following jurisdictions:  Any jurisdiction in the United States.</w:t>
      </w:r>
    </w:p>
    <w:p>
      <w:pPr>
        <w:pStyle w:val="Normal"/>
        <w:ind w:start="720" w:end="0"/>
        <w:jc w:val="both"/>
        <w:rPr>
          <w:color w:val="FF0000"/>
          <w:sz w:val="22"/>
        </w:rPr>
      </w:pPr>
      <w:r>
        <w:rPr>
          <w:color w:val="FF0000"/>
          <w:sz w:val="22"/>
        </w:rPr>
      </w:r>
    </w:p>
    <w:p>
      <w:pPr>
        <w:pStyle w:val="BodyTextIndent3"/>
        <w:rPr/>
      </w:pPr>
      <w:r>
        <w:rPr/>
        <w:t>If a party is not eligible to hold Posted Collateral pursuant to this Section, then it shall be considered a “Downgraded Party” (as defined in Paragraph 13(g)(ii)) and Posted Collateral shall be maintained in accordance with Paragraphs 13(g)(ii) and 13(h)(iii).</w:t>
      </w:r>
    </w:p>
    <w:p>
      <w:pPr>
        <w:pStyle w:val="Normal"/>
        <w:ind w:start="720" w:end="0"/>
        <w:jc w:val="both"/>
        <w:rPr>
          <w:sz w:val="22"/>
        </w:rPr>
      </w:pPr>
      <w:r>
        <w:rPr>
          <w:sz w:val="22"/>
        </w:rPr>
      </w:r>
    </w:p>
    <w:p>
      <w:pPr>
        <w:pStyle w:val="Normal"/>
        <w:ind w:start="720" w:end="0"/>
        <w:jc w:val="both"/>
        <w:rPr>
          <w:sz w:val="22"/>
        </w:rPr>
      </w:pPr>
      <w:r>
        <w:rPr>
          <w:sz w:val="22"/>
        </w:rPr>
        <w:t xml:space="preserve">(ii)  </w:t>
      </w:r>
      <w:r>
        <w:rPr>
          <w:b/>
          <w:sz w:val="22"/>
        </w:rPr>
        <w:t>Use of Posted Collateral.</w:t>
      </w:r>
    </w:p>
    <w:p>
      <w:pPr>
        <w:pStyle w:val="Normal"/>
        <w:ind w:start="720" w:end="0"/>
        <w:jc w:val="both"/>
        <w:rPr>
          <w:sz w:val="22"/>
        </w:rPr>
      </w:pPr>
      <w:r>
        <w:rPr>
          <w:sz w:val="22"/>
        </w:rPr>
      </w:r>
    </w:p>
    <w:p>
      <w:pPr>
        <w:pStyle w:val="Normal"/>
        <w:ind w:start="720" w:end="0"/>
        <w:jc w:val="both"/>
        <w:rPr/>
      </w:pPr>
      <w:r>
        <w:rPr>
          <w:sz w:val="22"/>
        </w:rPr>
        <w:t xml:space="preserve">The provisions of Paragraph 6(c) will apply to the parties; </w:t>
      </w:r>
      <w:r>
        <w:rPr>
          <w:sz w:val="22"/>
          <w:u w:val="single"/>
        </w:rPr>
        <w:t>provided</w:t>
      </w:r>
      <w:r>
        <w:rPr>
          <w:sz w:val="22"/>
        </w:rPr>
        <w:t xml:space="preserve">, </w:t>
      </w:r>
      <w:r>
        <w:rPr>
          <w:sz w:val="22"/>
          <w:u w:val="single"/>
        </w:rPr>
        <w:t>however</w:t>
      </w:r>
      <w:r>
        <w:rPr>
          <w:sz w:val="22"/>
        </w:rPr>
        <w:t xml:space="preserve">, that if a party is not eligible to hold Posted Collateral pursuant to Paragraph 13(g)(i) (such party shall be the </w:t>
      </w:r>
      <w:r>
        <w:rPr>
          <w:b/>
          <w:sz w:val="22"/>
        </w:rPr>
        <w:t>“Downgraded Party”</w:t>
      </w:r>
      <w:r>
        <w:rPr>
          <w:sz w:val="22"/>
        </w:rPr>
        <w:t xml:space="preserve"> and the event that caused it to be ineligible to hold Posted Collateral shall be a </w:t>
      </w:r>
      <w:r>
        <w:rPr>
          <w:b/>
          <w:sz w:val="22"/>
        </w:rPr>
        <w:t>“Credit Rating Event”</w:t>
      </w:r>
      <w:r>
        <w:rPr>
          <w:sz w:val="22"/>
        </w:rPr>
        <w:t>), then:</w:t>
      </w:r>
    </w:p>
    <w:p>
      <w:pPr>
        <w:pStyle w:val="Normal"/>
        <w:ind w:hanging="720" w:start="2160" w:end="0"/>
        <w:jc w:val="both"/>
        <w:rPr>
          <w:sz w:val="22"/>
        </w:rPr>
      </w:pPr>
      <w:r>
        <w:rPr>
          <w:sz w:val="22"/>
        </w:rPr>
      </w:r>
    </w:p>
    <w:p>
      <w:pPr>
        <w:pStyle w:val="Normal"/>
        <w:ind w:start="1440" w:end="0"/>
        <w:jc w:val="both"/>
        <w:rPr>
          <w:sz w:val="22"/>
        </w:rPr>
      </w:pPr>
      <w:r>
        <w:rPr>
          <w:sz w:val="22"/>
        </w:rPr>
        <w:t>(1)  the provisions of Paragraph 6(c) will not apply with respect to the Downgraded Party as the Secured Party; and</w:t>
      </w:r>
    </w:p>
    <w:p>
      <w:pPr>
        <w:pStyle w:val="Normal"/>
        <w:ind w:start="1440" w:end="0"/>
        <w:jc w:val="both"/>
        <w:rPr>
          <w:sz w:val="22"/>
        </w:rPr>
      </w:pPr>
      <w:r>
        <w:rPr>
          <w:sz w:val="22"/>
        </w:rPr>
      </w:r>
    </w:p>
    <w:p>
      <w:pPr>
        <w:pStyle w:val="Normal"/>
        <w:ind w:start="1440" w:end="0"/>
        <w:jc w:val="both"/>
        <w:rPr/>
      </w:pPr>
      <w:r>
        <w:rPr>
          <w:sz w:val="22"/>
        </w:rPr>
        <w:t>(2)  the Downgraded Party shall be required to deliver (or cause to be delivered)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sz w:val="22"/>
        </w:rPr>
        <w:t>“Qualified Institution”</w:t>
      </w:r>
      <w:r>
        <w:rPr>
          <w:sz w:val="22"/>
        </w:rPr>
        <w:t>), approved by the non-Downgraded Party (which approval shall not be unreasonably withheld) to a segregated, safekeeping or custody account (</w:t>
      </w:r>
      <w:r>
        <w:rPr>
          <w:b/>
          <w:sz w:val="22"/>
        </w:rPr>
        <w:t>“Collateral Account”</w:t>
      </w:r>
      <w:r>
        <w:rPr>
          <w:sz w:val="22"/>
        </w:rPr>
        <w:t>) within such Qualified Institution with the title of the Collateral Account indicating that the property contained therein is being held as Posted Collateral for the Downgraded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rPr>
      </w:pPr>
      <w:r>
        <w:rPr>
          <w:sz w:val="22"/>
        </w:rPr>
      </w:r>
    </w:p>
    <w:p>
      <w:pPr>
        <w:pStyle w:val="Normal"/>
        <w:ind w:start="720" w:end="0"/>
        <w:jc w:val="both"/>
        <w:rPr>
          <w:sz w:val="22"/>
        </w:rPr>
      </w:pPr>
      <w:r>
        <w:rPr>
          <w:sz w:val="22"/>
        </w:rPr>
        <w:t>(iii)  For purposes of Section 5(a)(iii) of this Agreement, failure by a party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rPr>
      </w:pPr>
      <w:r>
        <w:rPr>
          <w:sz w:val="22"/>
        </w:rPr>
      </w:r>
    </w:p>
    <w:p>
      <w:pPr>
        <w:pStyle w:val="Normal"/>
        <w:ind w:hanging="720" w:start="720" w:end="0"/>
        <w:jc w:val="both"/>
        <w:rPr>
          <w:sz w:val="22"/>
        </w:rPr>
      </w:pPr>
      <w:r>
        <w:rPr>
          <w:sz w:val="22"/>
        </w:rPr>
        <w:t>(h)</w:t>
        <w:tab/>
      </w:r>
      <w:r>
        <w:rPr>
          <w:b/>
          <w:sz w:val="22"/>
        </w:rPr>
        <w:t>Distributions and Interest Amount.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Interest Rate.</w:t>
      </w:r>
      <w:r>
        <w:rPr>
          <w:sz w:val="22"/>
        </w:rPr>
        <w:t xml:space="preserve">  The </w:t>
      </w:r>
      <w:r>
        <w:rPr>
          <w:b/>
          <w:sz w:val="22"/>
        </w:rPr>
        <w:t>“Interest Rate”</w:t>
      </w:r>
      <w:r>
        <w:rPr>
          <w:sz w:val="22"/>
        </w:rPr>
        <w:t xml:space="preserve"> will be:  Federal Funds Effective Rate as from time to time in effect.</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Transfer of Interest Amount.</w:t>
      </w:r>
      <w:r>
        <w:rPr>
          <w:sz w:val="22"/>
        </w:rPr>
        <w:t xml:space="preserve">  The Transfer of the Interest Amount will be made on the last Local Business Day of each calendar month and on any Local Business Day that Posted Collateral in the form of Cash is Transferred to the Pledgor pursuant to Paragraph 3(b).</w:t>
      </w:r>
    </w:p>
    <w:p>
      <w:pPr>
        <w:pStyle w:val="Normal"/>
        <w:ind w:hanging="720" w:start="1440" w:end="0"/>
        <w:jc w:val="both"/>
        <w:rPr>
          <w:sz w:val="22"/>
        </w:rPr>
      </w:pPr>
      <w:r>
        <w:rPr>
          <w:sz w:val="22"/>
        </w:rPr>
      </w:r>
    </w:p>
    <w:p>
      <w:pPr>
        <w:pStyle w:val="Normal"/>
        <w:ind w:start="720" w:end="0"/>
        <w:jc w:val="both"/>
        <w:rPr/>
      </w:pPr>
      <w:r>
        <w:rPr>
          <w:sz w:val="22"/>
        </w:rPr>
        <w:t xml:space="preserve">(iii)  </w:t>
      </w:r>
      <w:r>
        <w:rPr>
          <w:b/>
          <w:sz w:val="22"/>
        </w:rPr>
        <w:t>Alternative to Interest Amount.</w:t>
      </w:r>
      <w:r>
        <w:rPr>
          <w:sz w:val="22"/>
        </w:rPr>
        <w:t xml:space="preserve">  The provisions of Paragraph 6(d)(ii) will apply except as modified below.</w:t>
      </w:r>
    </w:p>
    <w:p>
      <w:pPr>
        <w:pStyle w:val="Normal"/>
        <w:ind w:hanging="720" w:start="1440" w:end="0"/>
        <w:jc w:val="both"/>
        <w:rPr>
          <w:sz w:val="22"/>
        </w:rPr>
      </w:pPr>
      <w:r>
        <w:rPr>
          <w:sz w:val="22"/>
        </w:rPr>
      </w:r>
    </w:p>
    <w:p>
      <w:pPr>
        <w:pStyle w:val="Normal"/>
        <w:ind w:start="900" w:end="0"/>
        <w:jc w:val="both"/>
        <w:rPr>
          <w:sz w:val="22"/>
        </w:rPr>
      </w:pPr>
      <w:r>
        <w:rPr>
          <w:sz w:val="22"/>
        </w:rPr>
        <w:t>(A)  If the provisions of Paragraph 6(c) do not apply to a party as a result of a Credit Rating Event described in Paragraph 13(g)(ii), the provisions of Paragraphs 6(d)(i) and 6(d)(ii) will not apply, Posted Collateral consisting of Government Obligations, if any, including all Distributions with respect to such Posted Collateral, shall be maintained in the Collateral Account by the Qualified Institution pursuant to Paragraph 13(g)(ii), and the investment of the Posted Collateral consisting of Cash shall be governed in accordance with the following provisions:</w:t>
      </w:r>
    </w:p>
    <w:p>
      <w:pPr>
        <w:pStyle w:val="Normal"/>
        <w:ind w:start="900" w:end="0"/>
        <w:jc w:val="both"/>
        <w:rPr>
          <w:sz w:val="22"/>
        </w:rPr>
      </w:pPr>
      <w:r>
        <w:rPr>
          <w:sz w:val="22"/>
        </w:rPr>
      </w:r>
    </w:p>
    <w:p>
      <w:pPr>
        <w:pStyle w:val="Normal"/>
        <w:ind w:start="900" w:end="0"/>
        <w:jc w:val="both"/>
        <w:rPr>
          <w:sz w:val="22"/>
        </w:rPr>
      </w:pPr>
      <w:r>
        <w:rPr>
          <w:sz w:val="22"/>
        </w:rPr>
        <w:t>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900" w:end="0"/>
        <w:jc w:val="both"/>
        <w:rPr>
          <w:sz w:val="22"/>
        </w:rPr>
      </w:pPr>
      <w:r>
        <w:rPr>
          <w:sz w:val="22"/>
        </w:rPr>
      </w:r>
    </w:p>
    <w:p>
      <w:pPr>
        <w:pStyle w:val="Normal"/>
        <w:ind w:start="900" w:end="0"/>
        <w:jc w:val="both"/>
        <w:rPr>
          <w:sz w:val="22"/>
        </w:rPr>
      </w:pPr>
      <w:r>
        <w:rPr>
          <w:sz w:val="22"/>
        </w:rPr>
        <w:t>For purposes of Section 5(a)(iii) of this Agreement, failure by a party to comply with any of the obligations under this Paragraph 13(h)(iii)(A) will constitute an Event of Default with respect to such party if the failure continues for two (2) Local Business Days after notice of the failure is given to that party.</w:t>
      </w:r>
    </w:p>
    <w:p>
      <w:pPr>
        <w:pStyle w:val="Normal"/>
        <w:ind w:start="900" w:end="0"/>
        <w:jc w:val="both"/>
        <w:rPr>
          <w:sz w:val="22"/>
        </w:rPr>
      </w:pPr>
      <w:r>
        <w:rPr>
          <w:sz w:val="22"/>
        </w:rPr>
      </w:r>
    </w:p>
    <w:p>
      <w:pPr>
        <w:pStyle w:val="Normal"/>
        <w:ind w:start="900" w:end="0"/>
        <w:jc w:val="both"/>
        <w:rPr>
          <w:sz w:val="22"/>
        </w:rPr>
      </w:pPr>
      <w:r>
        <w:rPr>
          <w:sz w:val="22"/>
        </w:rPr>
        <w:t>(B)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720" w:end="0"/>
        <w:jc w:val="both"/>
        <w:rPr>
          <w:sz w:val="22"/>
        </w:rPr>
      </w:pPr>
      <w:r>
        <w:rPr>
          <w:sz w:val="22"/>
        </w:rPr>
      </w:r>
    </w:p>
    <w:p>
      <w:pPr>
        <w:pStyle w:val="Normal"/>
        <w:ind w:hanging="720" w:start="720" w:end="0"/>
        <w:jc w:val="both"/>
        <w:rPr>
          <w:sz w:val="22"/>
        </w:rPr>
      </w:pPr>
      <w:r>
        <w:rPr>
          <w:sz w:val="22"/>
        </w:rPr>
        <w:t>(i)</w:t>
        <w:tab/>
      </w:r>
      <w:r>
        <w:rPr>
          <w:b/>
          <w:sz w:val="22"/>
        </w:rPr>
        <w:t>Additional Representation(s) and Covenants.</w:t>
      </w:r>
    </w:p>
    <w:p>
      <w:pPr>
        <w:pStyle w:val="Normal"/>
        <w:jc w:val="both"/>
        <w:rPr>
          <w:sz w:val="22"/>
        </w:rPr>
      </w:pPr>
      <w:r>
        <w:rPr>
          <w:sz w:val="22"/>
        </w:rPr>
      </w:r>
    </w:p>
    <w:p>
      <w:pPr>
        <w:pStyle w:val="Normal"/>
        <w:jc w:val="both"/>
        <w:rPr>
          <w:sz w:val="22"/>
        </w:rPr>
      </w:pPr>
      <w:r>
        <w:rPr>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rPr>
      </w:pPr>
      <w:r>
        <w:rPr>
          <w:sz w:val="22"/>
        </w:rPr>
      </w:r>
    </w:p>
    <w:p>
      <w:pPr>
        <w:pStyle w:val="Normal"/>
        <w:ind w:hanging="720" w:start="720" w:end="0"/>
        <w:jc w:val="both"/>
        <w:rPr>
          <w:sz w:val="22"/>
        </w:rPr>
      </w:pPr>
      <w:r>
        <w:rPr>
          <w:sz w:val="22"/>
        </w:rPr>
        <w:t>(j)</w:t>
        <w:tab/>
      </w:r>
      <w:r>
        <w:rPr>
          <w:b/>
          <w:sz w:val="22"/>
        </w:rPr>
        <w:t>Other Eligible Support and Other Posted Support.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“Value”</w:t>
      </w:r>
      <w:r>
        <w:rPr>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rPr>
      </w:pPr>
      <w:r>
        <w:rPr>
          <w:sz w:val="22"/>
        </w:rPr>
      </w:r>
    </w:p>
    <w:p>
      <w:pPr>
        <w:pStyle w:val="Normal"/>
        <w:ind w:start="720" w:end="0"/>
        <w:jc w:val="both"/>
        <w:rPr/>
      </w:pPr>
      <w:r>
        <w:rPr>
          <w:sz w:val="22"/>
        </w:rPr>
        <w:t xml:space="preserve">(ii)  </w:t>
      </w:r>
      <w:r>
        <w:rPr>
          <w:b/>
          <w:sz w:val="22"/>
        </w:rPr>
        <w:t>“Transfer”</w:t>
      </w:r>
      <w:r>
        <w:rPr>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rPr>
      </w:pPr>
      <w:r>
        <w:rPr>
          <w:sz w:val="22"/>
        </w:rPr>
      </w:r>
    </w:p>
    <w:p>
      <w:pPr>
        <w:pStyle w:val="Normal"/>
        <w:ind w:start="720" w:end="0"/>
        <w:jc w:val="both"/>
        <w:rPr/>
      </w:pPr>
      <w:r>
        <w:rPr>
          <w:sz w:val="22"/>
        </w:rPr>
        <w:t xml:space="preserve">(iii)  All Other Eligible Support and Other Posted Support consisting of Letters of Credit shall be issued and maintained in accordance with the provisions set forth in </w:t>
      </w:r>
      <w:r>
        <w:rPr>
          <w:sz w:val="22"/>
          <w:u w:val="single"/>
        </w:rPr>
        <w:t>Exhibit A</w:t>
      </w:r>
      <w:r>
        <w:rPr>
          <w:sz w:val="22"/>
        </w:rPr>
        <w:t xml:space="preserve"> and </w:t>
      </w:r>
      <w:r>
        <w:rPr>
          <w:sz w:val="22"/>
          <w:u w:val="single"/>
        </w:rPr>
        <w:t>Schedule 1</w:t>
      </w:r>
      <w:r>
        <w:rPr>
          <w:sz w:val="22"/>
        </w:rPr>
        <w:t xml:space="preserve"> attached hereto.</w:t>
      </w:r>
    </w:p>
    <w:p>
      <w:pPr>
        <w:pStyle w:val="Normal"/>
        <w:ind w:hanging="720" w:start="720" w:end="0"/>
        <w:jc w:val="both"/>
        <w:rPr>
          <w:sz w:val="22"/>
        </w:rPr>
      </w:pPr>
      <w:r>
        <w:rPr>
          <w:sz w:val="22"/>
        </w:rPr>
      </w:r>
    </w:p>
    <w:p>
      <w:pPr>
        <w:pStyle w:val="Normal"/>
        <w:ind w:hanging="720" w:start="720" w:end="0"/>
        <w:jc w:val="both"/>
        <w:rPr>
          <w:sz w:val="22"/>
        </w:rPr>
      </w:pPr>
      <w:r>
        <w:rPr>
          <w:sz w:val="22"/>
        </w:rPr>
        <w:t>(k)</w:t>
        <w:tab/>
      </w:r>
      <w:r>
        <w:rPr>
          <w:b/>
          <w:sz w:val="22"/>
        </w:rPr>
        <w:t>Demands and Notices.</w:t>
      </w:r>
    </w:p>
    <w:p>
      <w:pPr>
        <w:pStyle w:val="Normal"/>
        <w:jc w:val="both"/>
        <w:rPr>
          <w:sz w:val="22"/>
        </w:rPr>
      </w:pPr>
      <w:r>
        <w:rPr>
          <w:sz w:val="22"/>
        </w:rPr>
      </w:r>
    </w:p>
    <w:p>
      <w:pPr>
        <w:pStyle w:val="Normal"/>
        <w:jc w:val="both"/>
        <w:rPr>
          <w:sz w:val="22"/>
        </w:rPr>
      </w:pPr>
      <w:r>
        <w:rPr>
          <w:sz w:val="22"/>
        </w:rPr>
        <w:t>All demands, specifications, and notices under this Annex will be made pursuant to the Notices Section of this Agreement.</w:t>
      </w:r>
    </w:p>
    <w:p>
      <w:pPr>
        <w:pStyle w:val="Normal"/>
        <w:ind w:hanging="720" w:start="720" w:end="0"/>
        <w:jc w:val="both"/>
        <w:rPr>
          <w:sz w:val="22"/>
        </w:rPr>
      </w:pPr>
      <w:r>
        <w:rPr>
          <w:sz w:val="22"/>
        </w:rPr>
      </w:r>
    </w:p>
    <w:p>
      <w:pPr>
        <w:pStyle w:val="Normal"/>
        <w:ind w:hanging="720" w:start="720" w:end="0"/>
        <w:jc w:val="both"/>
        <w:rPr>
          <w:sz w:val="22"/>
        </w:rPr>
      </w:pPr>
      <w:r>
        <w:rPr>
          <w:sz w:val="22"/>
        </w:rPr>
        <w:t>(l)</w:t>
        <w:tab/>
      </w:r>
      <w:r>
        <w:rPr>
          <w:b/>
          <w:sz w:val="22"/>
        </w:rPr>
        <w:t>Addresses for Transfers.</w:t>
      </w:r>
    </w:p>
    <w:p>
      <w:pPr>
        <w:pStyle w:val="Normal"/>
        <w:ind w:start="720" w:end="0"/>
        <w:jc w:val="both"/>
        <w:rPr>
          <w:sz w:val="22"/>
        </w:rPr>
      </w:pPr>
      <w:r>
        <w:rPr>
          <w:sz w:val="22"/>
        </w:rPr>
      </w:r>
    </w:p>
    <w:p>
      <w:pPr>
        <w:pStyle w:val="Normal"/>
        <w:ind w:hanging="1080" w:start="1800" w:end="0"/>
        <w:jc w:val="both"/>
        <w:rPr>
          <w:sz w:val="22"/>
        </w:rPr>
      </w:pPr>
      <w:r>
        <w:rPr>
          <w:sz w:val="22"/>
        </w:rPr>
        <w:t>Party A:     To be provided in notice requesting delivery/return of Eligible Credit Support/Posted Credit Support.</w:t>
      </w:r>
    </w:p>
    <w:p>
      <w:pPr>
        <w:pStyle w:val="Normal"/>
        <w:ind w:start="720" w:end="0"/>
        <w:jc w:val="both"/>
        <w:rPr>
          <w:sz w:val="22"/>
        </w:rPr>
      </w:pPr>
      <w:r>
        <w:rPr>
          <w:sz w:val="22"/>
        </w:rPr>
      </w:r>
    </w:p>
    <w:p>
      <w:pPr>
        <w:pStyle w:val="Normal"/>
        <w:ind w:hanging="1080" w:start="1800" w:end="0"/>
        <w:jc w:val="both"/>
        <w:rPr>
          <w:sz w:val="22"/>
        </w:rPr>
      </w:pPr>
      <w:r>
        <w:rPr>
          <w:sz w:val="22"/>
        </w:rPr>
        <w:t>Party B:      To be provided in notice requesting delivery/return of Eligible Credit Support/Posted Credit Support.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(m)</w:t>
        <w:tab/>
      </w:r>
      <w:r>
        <w:rPr>
          <w:b/>
          <w:sz w:val="22"/>
        </w:rPr>
        <w:t>Other Provisions.</w:t>
      </w:r>
    </w:p>
    <w:p>
      <w:pPr>
        <w:pStyle w:val="Normal"/>
        <w:keepNext w:val="true"/>
        <w:ind w:hanging="720" w:start="1440" w:end="0"/>
        <w:jc w:val="both"/>
        <w:rPr>
          <w:sz w:val="22"/>
        </w:rPr>
      </w:pPr>
      <w:r>
        <w:rPr>
          <w:sz w:val="22"/>
        </w:rPr>
      </w:r>
    </w:p>
    <w:p>
      <w:pPr>
        <w:pStyle w:val="Normal"/>
        <w:keepNext w:val="true"/>
        <w:ind w:hanging="720" w:start="1440" w:end="0"/>
        <w:jc w:val="both"/>
        <w:rPr>
          <w:sz w:val="22"/>
        </w:rPr>
      </w:pPr>
      <w:r>
        <w:rPr>
          <w:sz w:val="22"/>
        </w:rPr>
        <w:t>(i)  Paragraph 12 of this Annex is hereby amended by adding the following:</w:t>
      </w:r>
    </w:p>
    <w:p>
      <w:pPr>
        <w:pStyle w:val="Normal"/>
        <w:ind w:start="720" w:end="0"/>
        <w:jc w:val="both"/>
        <w:rPr>
          <w:sz w:val="22"/>
        </w:rPr>
      </w:pPr>
      <w:r>
        <w:rPr>
          <w:sz w:val="22"/>
        </w:rPr>
      </w:r>
    </w:p>
    <w:p>
      <w:pPr>
        <w:pStyle w:val="Normal"/>
        <w:ind w:start="720" w:end="0"/>
        <w:jc w:val="both"/>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rPr>
      </w:pPr>
      <w:r>
        <w:rPr>
          <w:sz w:val="22"/>
        </w:rPr>
      </w:r>
    </w:p>
    <w:p>
      <w:pPr>
        <w:pStyle w:val="Normal"/>
        <w:ind w:start="720" w:end="0"/>
        <w:jc w:val="both"/>
        <w:rPr/>
      </w:pPr>
      <w:r>
        <w:rPr>
          <w:b/>
          <w:sz w:val="22"/>
        </w:rPr>
        <w:t>“</w:t>
      </w:r>
      <w:r>
        <w:rPr>
          <w:b/>
          <w:sz w:val="22"/>
        </w:rPr>
        <w:t>Federal Funds Effective Rate”</w:t>
      </w:r>
      <w:r>
        <w:rPr>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rPr>
      </w:pPr>
      <w:r>
        <w:rPr>
          <w:sz w:val="22"/>
        </w:rPr>
      </w:r>
    </w:p>
    <w:p>
      <w:pPr>
        <w:pStyle w:val="Normal"/>
        <w:ind w:start="720" w:end="0"/>
        <w:jc w:val="both"/>
        <w:rPr/>
      </w:pPr>
      <w:r>
        <w:rPr>
          <w:b/>
          <w:sz w:val="22"/>
        </w:rPr>
        <w:t>“</w:t>
      </w:r>
      <w:r>
        <w:rPr>
          <w:b/>
          <w:sz w:val="22"/>
        </w:rPr>
        <w:t>Letter of Credit”</w:t>
      </w:r>
      <w:r>
        <w:rPr>
          <w:sz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u w:val="single"/>
        </w:rPr>
        <w:t>Schedule 1</w:t>
      </w:r>
      <w:r>
        <w:rPr>
          <w:sz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rPr>
      </w:pPr>
      <w:r>
        <w:rPr>
          <w:sz w:val="22"/>
        </w:rPr>
      </w:r>
    </w:p>
    <w:p>
      <w:pPr>
        <w:pStyle w:val="Normal"/>
        <w:ind w:start="720" w:end="0"/>
        <w:jc w:val="both"/>
        <w:rPr>
          <w:b/>
          <w:sz w:val="22"/>
        </w:rPr>
      </w:pPr>
      <w:r>
        <w:rPr>
          <w:b/>
          <w:sz w:val="22"/>
        </w:rPr>
        <w:t>“</w:t>
      </w:r>
      <w:r>
        <w:rPr>
          <w:b/>
          <w:sz w:val="22"/>
        </w:rPr>
        <w:t>Material Adverse Change”</w:t>
      </w:r>
      <w:r>
        <w:rPr>
          <w:sz w:val="22"/>
        </w:rPr>
        <w:t xml:space="preserve"> means with respect to Party A, its Credit Support Provider’s Credit Rating is below “BBB-” by S&amp;P  or its Credit Support Provider fails to have a Credit Rating from S&amp;P.</w:t>
      </w:r>
    </w:p>
    <w:p>
      <w:pPr>
        <w:pStyle w:val="Normal"/>
        <w:ind w:start="720" w:end="0"/>
        <w:jc w:val="both"/>
        <w:rPr>
          <w:b/>
          <w:sz w:val="22"/>
        </w:rPr>
      </w:pPr>
      <w:r>
        <w:rPr>
          <w:b/>
          <w:sz w:val="22"/>
        </w:rPr>
      </w:r>
    </w:p>
    <w:p>
      <w:pPr>
        <w:pStyle w:val="Normal"/>
        <w:ind w:start="720" w:end="0"/>
        <w:jc w:val="both"/>
        <w:rPr/>
      </w:pPr>
      <w:r>
        <w:rPr>
          <w:b/>
          <w:sz w:val="22"/>
        </w:rPr>
        <w:t>“</w:t>
      </w:r>
      <w:r>
        <w:rPr>
          <w:b/>
          <w:sz w:val="22"/>
        </w:rPr>
        <w:t>Moody’s”</w:t>
      </w:r>
      <w:r>
        <w:rPr>
          <w:sz w:val="22"/>
        </w:rPr>
        <w:t xml:space="preserve"> means Moody’s Investors Service, Inc. or its successor.</w:t>
      </w:r>
    </w:p>
    <w:p>
      <w:pPr>
        <w:pStyle w:val="Normal"/>
        <w:ind w:start="720" w:end="0"/>
        <w:jc w:val="both"/>
        <w:rPr>
          <w:sz w:val="22"/>
        </w:rPr>
      </w:pPr>
      <w:r>
        <w:rPr>
          <w:sz w:val="22"/>
        </w:rPr>
      </w:r>
    </w:p>
    <w:p>
      <w:pPr>
        <w:pStyle w:val="Normal"/>
        <w:ind w:start="720" w:end="0"/>
        <w:jc w:val="both"/>
        <w:rPr/>
      </w:pPr>
      <w:r>
        <w:rPr>
          <w:b/>
          <w:sz w:val="22"/>
        </w:rPr>
        <w:t>“</w:t>
      </w:r>
      <w:r>
        <w:rPr>
          <w:b/>
          <w:sz w:val="22"/>
        </w:rPr>
        <w:t>S&amp;P”</w:t>
      </w:r>
      <w:r>
        <w:rPr>
          <w:sz w:val="22"/>
        </w:rPr>
        <w:t xml:space="preserve"> means the Standard &amp; Poor's Rating Group (a division of McGraw-Hill, Inc.) or its successor.</w:t>
      </w:r>
    </w:p>
    <w:p>
      <w:pPr>
        <w:pStyle w:val="Normal"/>
        <w:ind w:hanging="720" w:start="720" w:end="0"/>
        <w:jc w:val="both"/>
        <w:rPr>
          <w:sz w:val="22"/>
        </w:rPr>
      </w:pPr>
      <w:r>
        <w:rPr>
          <w:sz w:val="22"/>
        </w:rPr>
      </w:r>
    </w:p>
    <w:p>
      <w:pPr>
        <w:pStyle w:val="Normal"/>
        <w:ind w:start="720" w:end="0"/>
        <w:jc w:val="both"/>
        <w:rPr>
          <w:sz w:val="22"/>
        </w:rPr>
      </w:pPr>
      <w:r>
        <w:rPr>
          <w:sz w:val="22"/>
        </w:rPr>
        <w:t>(ii)  Paragraph 6(d)(i) is hereby amended by adding the following sentence:</w:t>
      </w:r>
    </w:p>
    <w:p>
      <w:pPr>
        <w:pStyle w:val="Normal"/>
        <w:ind w:hanging="720" w:start="720" w:end="0"/>
        <w:jc w:val="both"/>
        <w:rPr>
          <w:sz w:val="22"/>
        </w:rPr>
      </w:pPr>
      <w:r>
        <w:rPr>
          <w:sz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rPr>
      </w:pPr>
      <w:r>
        <w:rPr>
          <w:sz w:val="22"/>
        </w:rPr>
      </w:r>
    </w:p>
    <w:p>
      <w:pPr>
        <w:pStyle w:val="Normal"/>
        <w:ind w:start="720" w:end="0"/>
        <w:jc w:val="both"/>
        <w:rPr>
          <w:sz w:val="22"/>
        </w:rPr>
      </w:pPr>
      <w:r>
        <w:rPr>
          <w:sz w:val="22"/>
        </w:rPr>
        <w:t xml:space="preserve">(iii)  Paragraph 7(i) is hereby amended by deleting the words “Eligible Collateral” and replacing them with the words “Eligible Credit Support.” </w:t>
      </w:r>
    </w:p>
    <w:p>
      <w:pPr>
        <w:pStyle w:val="Normal"/>
        <w:ind w:hanging="720" w:start="720" w:end="0"/>
        <w:jc w:val="both"/>
        <w:rPr>
          <w:sz w:val="22"/>
        </w:rPr>
      </w:pPr>
      <w:r>
        <w:rPr>
          <w:sz w:val="22"/>
        </w:rPr>
      </w:r>
    </w:p>
    <w:p>
      <w:pPr>
        <w:sectPr>
          <w:footerReference w:type="default" r:id="rId3"/>
          <w:footerReference w:type="first" r:id="rId4"/>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tLeast" w:line="240"/>
        <w:ind w:start="720" w:end="144"/>
        <w:jc w:val="both"/>
        <w:rPr>
          <w:b/>
          <w:sz w:val="22"/>
        </w:rPr>
      </w:pPr>
      <w:r>
        <w:rPr>
          <w:b/>
          <w:sz w:val="22"/>
        </w:rPr>
      </w:r>
    </w:p>
    <w:p>
      <w:pPr>
        <w:pStyle w:val="Normal"/>
        <w:jc w:val="center"/>
        <w:rPr>
          <w:b/>
          <w:sz w:val="22"/>
        </w:rPr>
      </w:pPr>
      <w:r>
        <w:rPr>
          <w:b/>
          <w:sz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rPr>
      </w:pPr>
      <w:r>
        <w:rPr>
          <w:b/>
          <w:sz w:val="22"/>
        </w:rPr>
        <w:t>of Annex A</w:t>
      </w:r>
    </w:p>
    <w:p>
      <w:pPr>
        <w:pStyle w:val="Normal"/>
        <w:jc w:val="center"/>
        <w:rPr>
          <w:sz w:val="22"/>
        </w:rPr>
      </w:pPr>
      <w:r>
        <w:rPr>
          <w:sz w:val="22"/>
        </w:rPr>
      </w:r>
    </w:p>
    <w:p>
      <w:pPr>
        <w:pStyle w:val="Normal"/>
        <w:jc w:val="center"/>
        <w:rPr>
          <w:sz w:val="22"/>
        </w:rPr>
      </w:pPr>
      <w:r>
        <w:rPr>
          <w:b/>
          <w:sz w:val="22"/>
        </w:rPr>
        <w:t>LETTER OF CREDIT PROVISIONS</w:t>
      </w:r>
    </w:p>
    <w:p>
      <w:pPr>
        <w:pStyle w:val="Normal"/>
        <w:jc w:val="both"/>
        <w:rPr>
          <w:sz w:val="22"/>
        </w:rPr>
      </w:pPr>
      <w:r>
        <w:rPr>
          <w:sz w:val="22"/>
        </w:rPr>
      </w:r>
    </w:p>
    <w:p>
      <w:pPr>
        <w:pStyle w:val="Normal"/>
        <w:jc w:val="both"/>
        <w:rPr/>
      </w:pPr>
      <w:r>
        <w:rPr>
          <w:sz w:val="22"/>
        </w:rPr>
        <w:t xml:space="preserve">I.  </w:t>
      </w:r>
      <w:r>
        <w:rPr>
          <w:b/>
          <w:sz w:val="22"/>
          <w:u w:val="single"/>
        </w:rPr>
        <w:t>Letters of Credit</w:t>
      </w:r>
      <w:r>
        <w:rPr>
          <w:sz w:val="22"/>
        </w:rPr>
        <w:t>.  Posted Credit Support provided by one party (“X”) for the benefit of the other (“Y”) in the form of a Letter of Credit shall be subject to the following provisions.</w:t>
      </w:r>
    </w:p>
    <w:p>
      <w:pPr>
        <w:pStyle w:val="Normal"/>
        <w:jc w:val="both"/>
        <w:rPr>
          <w:sz w:val="22"/>
        </w:rPr>
      </w:pPr>
      <w:r>
        <w:rPr>
          <w:sz w:val="22"/>
        </w:rPr>
      </w:r>
    </w:p>
    <w:p>
      <w:pPr>
        <w:pStyle w:val="Normal"/>
        <w:ind w:start="180" w:end="0"/>
        <w:jc w:val="both"/>
        <w:rPr>
          <w:sz w:val="22"/>
        </w:rPr>
      </w:pPr>
      <w:r>
        <w:rPr>
          <w:sz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rPr>
      </w:pPr>
      <w:r>
        <w:rPr>
          <w:sz w:val="22"/>
        </w:rPr>
      </w:r>
    </w:p>
    <w:p>
      <w:pPr>
        <w:pStyle w:val="Normal"/>
        <w:ind w:start="180" w:end="0"/>
        <w:jc w:val="both"/>
        <w:rPr/>
      </w:pPr>
      <w:r>
        <w:rPr>
          <w:sz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u w:val="single"/>
        </w:rPr>
        <w:t>provided, however</w:t>
      </w:r>
      <w:r>
        <w:rPr>
          <w:sz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sz w:val="22"/>
        </w:rPr>
      </w:pPr>
      <w:r>
        <w:rPr>
          <w:sz w:val="22"/>
        </w:rPr>
      </w:r>
    </w:p>
    <w:p>
      <w:pPr>
        <w:pStyle w:val="Normal"/>
        <w:ind w:start="180" w:end="0"/>
        <w:jc w:val="both"/>
        <w:rPr>
          <w:sz w:val="22"/>
        </w:rPr>
      </w:pPr>
      <w:r>
        <w:rPr>
          <w:sz w:val="22"/>
        </w:rPr>
        <w:t>(c)  As one method of providing additional Posted Credit Support, X may increase the amount of an outstanding Letter of Credit or establish one or more additional Letters of Credit.</w:t>
      </w:r>
    </w:p>
    <w:p>
      <w:pPr>
        <w:pStyle w:val="Normal"/>
        <w:ind w:start="180" w:end="0"/>
        <w:jc w:val="both"/>
        <w:rPr>
          <w:sz w:val="22"/>
        </w:rPr>
      </w:pPr>
      <w:r>
        <w:rPr>
          <w:sz w:val="22"/>
        </w:rPr>
      </w:r>
    </w:p>
    <w:p>
      <w:pPr>
        <w:pStyle w:val="Normal"/>
        <w:ind w:start="180" w:end="0"/>
        <w:jc w:val="both"/>
        <w:rPr>
          <w:sz w:val="22"/>
        </w:rPr>
      </w:pPr>
      <w:r>
        <w:rPr>
          <w:sz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sz w:val="22"/>
        </w:rPr>
      </w:pPr>
      <w:r>
        <w:rPr>
          <w:sz w:val="22"/>
        </w:rPr>
      </w:r>
    </w:p>
    <w:p>
      <w:pPr>
        <w:pStyle w:val="Normal"/>
        <w:ind w:start="180" w:end="0"/>
        <w:jc w:val="both"/>
        <w:rPr>
          <w:sz w:val="22"/>
        </w:rPr>
      </w:pPr>
      <w:r>
        <w:rPr>
          <w:sz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start="180" w:end="0"/>
        <w:jc w:val="both"/>
        <w:rPr>
          <w:sz w:val="22"/>
        </w:rPr>
      </w:pPr>
      <w:r>
        <w:rPr>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rPr>
      </w:pPr>
      <w:r>
        <w:rPr>
          <w:sz w:val="22"/>
        </w:rPr>
      </w:r>
    </w:p>
    <w:p>
      <w:pPr>
        <w:pStyle w:val="Normal"/>
        <w:ind w:start="180" w:end="0"/>
        <w:jc w:val="both"/>
        <w:rPr>
          <w:sz w:val="22"/>
        </w:rPr>
      </w:pPr>
      <w:r>
        <w:rPr>
          <w:sz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sz w:val="22"/>
        </w:rPr>
      </w:pPr>
      <w:r>
        <w:rPr>
          <w:sz w:val="22"/>
        </w:rPr>
      </w:r>
    </w:p>
    <w:p>
      <w:pPr>
        <w:sectPr>
          <w:headerReference w:type="default" r:id="rId5"/>
          <w:footerReference w:type="default" r:id="rId6"/>
          <w:footerReference w:type="first" r:id="rId7"/>
          <w:type w:val="nextPage"/>
          <w:pgSz w:w="12240" w:h="15840"/>
          <w:pgMar w:left="1080" w:right="1080" w:gutter="0" w:header="720" w:top="1440" w:footer="720" w:bottom="1440"/>
          <w:pgNumType w:start="1" w:fmt="decimal"/>
          <w:formProt w:val="false"/>
          <w:textDirection w:val="lrTb"/>
          <w:docGrid w:type="default" w:linePitch="360" w:charSpace="0"/>
        </w:sectPr>
        <w:pStyle w:val="Normal"/>
        <w:ind w:start="180" w:end="0"/>
        <w:jc w:val="both"/>
        <w:rPr/>
      </w:pPr>
      <w:r>
        <w:rPr>
          <w:sz w:val="22"/>
        </w:rPr>
        <w:t xml:space="preserve">(g)  The provisions of this </w:t>
      </w:r>
      <w:r>
        <w:rPr>
          <w:sz w:val="22"/>
          <w:u w:val="single"/>
        </w:rPr>
        <w:t>Exhibit A</w:t>
      </w:r>
      <w:r>
        <w:rPr>
          <w:sz w:val="22"/>
        </w:rPr>
        <w:t xml:space="preserve"> shall constitute agreements for all purposes of this Agreement and this Annex, including Section 5(a)(iii) of this Agreement.</w:t>
      </w:r>
    </w:p>
    <w:p>
      <w:pPr>
        <w:pStyle w:val="Normal"/>
        <w:jc w:val="center"/>
        <w:rPr>
          <w:sz w:val="22"/>
        </w:rPr>
      </w:pPr>
      <w:r>
        <w:rPr>
          <w:b/>
          <w:sz w:val="22"/>
          <w:u w:val="single"/>
        </w:rPr>
        <w:t>SCHEDULE 1</w:t>
      </w:r>
    </w:p>
    <w:p>
      <w:pPr>
        <w:pStyle w:val="Normal"/>
        <w:jc w:val="center"/>
        <w:rPr>
          <w:sz w:val="22"/>
        </w:rPr>
      </w:pPr>
      <w:r>
        <w:rPr>
          <w:sz w:val="22"/>
        </w:rPr>
      </w:r>
    </w:p>
    <w:p>
      <w:pPr>
        <w:pStyle w:val="Normal"/>
        <w:jc w:val="center"/>
        <w:rPr>
          <w:sz w:val="22"/>
        </w:rPr>
      </w:pPr>
      <w:r>
        <w:rPr>
          <w:sz w:val="22"/>
        </w:rPr>
        <w:t>IRREVOCABLE TRANSFERABLE STANDBY LETTER OF CREDIT FORMAT</w:t>
      </w:r>
    </w:p>
    <w:p>
      <w:pPr>
        <w:pStyle w:val="Normal"/>
        <w:jc w:val="center"/>
        <w:rPr>
          <w:sz w:val="22"/>
        </w:rPr>
      </w:pPr>
      <w:r>
        <w:rPr>
          <w:sz w:val="22"/>
        </w:rPr>
        <w:t xml:space="preserve">DATE OF ISSUANCE:  </w:t>
      </w:r>
      <w:r>
        <w:rPr>
          <w:sz w:val="22"/>
          <w:u w:val="single"/>
        </w:rPr>
        <w:tab/>
        <w:tab/>
        <w:tab/>
      </w:r>
    </w:p>
    <w:p>
      <w:pPr>
        <w:pStyle w:val="Normal"/>
        <w:jc w:val="center"/>
        <w:rPr>
          <w:sz w:val="22"/>
        </w:rPr>
      </w:pPr>
      <w:r>
        <w:rPr>
          <w:sz w:val="22"/>
        </w:rPr>
      </w:r>
    </w:p>
    <w:p>
      <w:pPr>
        <w:pStyle w:val="Normal"/>
        <w:rPr>
          <w:sz w:val="22"/>
        </w:rPr>
      </w:pPr>
      <w:r>
        <w:rPr>
          <w:sz w:val="22"/>
        </w:rPr>
        <w:t>[Address]</w:t>
      </w:r>
    </w:p>
    <w:p>
      <w:pPr>
        <w:pStyle w:val="Normal"/>
        <w:rPr>
          <w:sz w:val="22"/>
        </w:rPr>
      </w:pPr>
      <w:r>
        <w:rPr>
          <w:sz w:val="22"/>
        </w:rPr>
      </w:r>
    </w:p>
    <w:p>
      <w:pPr>
        <w:pStyle w:val="Normal"/>
        <w:rPr>
          <w:sz w:val="22"/>
        </w:rPr>
      </w:pPr>
      <w:r>
        <w:rPr>
          <w:sz w:val="22"/>
        </w:rPr>
        <w:tab/>
        <w:t>Re:  Credit No. _______________</w:t>
      </w:r>
    </w:p>
    <w:p>
      <w:pPr>
        <w:pStyle w:val="Normal"/>
        <w:rPr>
          <w:sz w:val="22"/>
        </w:rPr>
      </w:pPr>
      <w:r>
        <w:rPr>
          <w:sz w:val="22"/>
        </w:rPr>
      </w:r>
    </w:p>
    <w:p>
      <w:pPr>
        <w:pStyle w:val="Normal"/>
        <w:jc w:val="both"/>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the following statement, dated and signed by a representative of the beneficiary:</w:t>
      </w:r>
    </w:p>
    <w:p>
      <w:pPr>
        <w:pStyle w:val="Normal"/>
        <w:jc w:val="both"/>
        <w:rPr>
          <w:sz w:val="22"/>
        </w:rPr>
      </w:pPr>
      <w:r>
        <w:rPr>
          <w:sz w:val="22"/>
        </w:rPr>
      </w:r>
    </w:p>
    <w:p>
      <w:pPr>
        <w:pStyle w:val="Normal"/>
        <w:tabs>
          <w:tab w:val="left" w:pos="720" w:leader="none"/>
        </w:tabs>
        <w:ind w:hanging="720" w:start="720" w:end="0"/>
        <w:jc w:val="both"/>
        <w:rPr>
          <w:sz w:val="22"/>
        </w:rPr>
      </w:pPr>
      <w:r>
        <w:rPr>
          <w:sz w:val="22"/>
        </w:rPr>
        <w:tab/>
        <w:t>“An Event of Default (as defined in the Master Agreement dated as of ________ between beneficiary and Account Party, as the same may have been amended (the “Master Agreement”)) has occurred and is continuing with respect to Account Party under the Master Agreement.”</w:t>
      </w:r>
    </w:p>
    <w:p>
      <w:pPr>
        <w:pStyle w:val="Normal"/>
        <w:tabs>
          <w:tab w:val="left" w:pos="720" w:leader="none"/>
        </w:tabs>
        <w:ind w:hanging="1440" w:start="1440" w:end="0"/>
        <w:jc w:val="both"/>
        <w:rPr>
          <w:sz w:val="22"/>
        </w:rPr>
      </w:pPr>
      <w:r>
        <w:rPr>
          <w:sz w:val="22"/>
        </w:rPr>
      </w:r>
    </w:p>
    <w:p>
      <w:pPr>
        <w:pStyle w:val="Norma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rPr>
          <w:sz w:val="22"/>
        </w:rPr>
      </w:pPr>
      <w:r>
        <w:rPr>
          <w:sz w:val="22"/>
        </w:rPr>
      </w:r>
    </w:p>
    <w:p>
      <w:pPr>
        <w:sectPr>
          <w:headerReference w:type="default" r:id="rId8"/>
          <w:headerReference w:type="first" r:id="rId9"/>
          <w:footerReference w:type="default" r:id="rId10"/>
          <w:footerReference w:type="first" r:id="rId11"/>
          <w:type w:val="nextPage"/>
          <w:pgSz w:w="12240" w:h="15840"/>
          <w:pgMar w:left="1080" w:right="1080" w:gutter="0" w:header="720" w:top="1440" w:footer="720" w:bottom="1440"/>
          <w:pgNumType w:start="1" w:fmt="decimal"/>
          <w:formProt w:val="false"/>
          <w:textDirection w:val="lrTb"/>
          <w:docGrid w:type="default" w:linePitch="360" w:charSpace="0"/>
        </w:sectPr>
        <w:pStyle w:val="Normal"/>
        <w:tabs>
          <w:tab w:val="clear" w:pos="720"/>
          <w:tab w:val="left" w:pos="4320" w:leader="none"/>
          <w:tab w:val="left" w:pos="5040" w:leader="none"/>
          <w:tab w:val="left" w:pos="5760" w:leader="none"/>
        </w:tabs>
        <w:ind w:start="5040" w:end="0"/>
        <w:rPr>
          <w:sz w:val="22"/>
        </w:rPr>
      </w:pPr>
      <w:r>
        <w:rPr>
          <w:sz w:val="22"/>
        </w:rPr>
        <w:t>[BANK SIGNATURE]</w:t>
      </w:r>
    </w:p>
    <w:p>
      <w:pPr>
        <w:pStyle w:val="Normal"/>
        <w:ind w:end="180"/>
        <w:jc w:val="center"/>
        <w:rPr>
          <w:b/>
          <w:sz w:val="22"/>
        </w:rPr>
      </w:pPr>
      <w:r>
        <w:rPr>
          <w:b/>
          <w:sz w:val="22"/>
          <w:u w:val="single"/>
        </w:rPr>
        <w:t>EXHIBIT A</w:t>
      </w:r>
    </w:p>
    <w:p>
      <w:pPr>
        <w:pStyle w:val="Normal"/>
        <w:ind w:end="18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(the “Guaranty”), dated as of </w:t>
      </w:r>
      <w:r>
        <w:rPr>
          <w:sz w:val="22"/>
          <w:u w:val="single"/>
        </w:rPr>
        <w:tab/>
        <w:tab/>
      </w:r>
      <w:r>
        <w:rPr>
          <w:sz w:val="22"/>
        </w:rPr>
        <w:t xml:space="preserve">, 2000,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sz w:val="22"/>
        </w:rPr>
      </w:pPr>
      <w:r>
        <w:rPr>
          <w:sz w:val="22"/>
        </w:rPr>
        <w:t xml:space="preserve">WHEREAS, KAISER ALUMINUM &amp; CHEMICAL CORPORATION, a Delaware corporation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$________.</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or Termination Event,</w:t>
      </w:r>
      <w:r>
        <w:rPr>
          <w:color w:val="FF0000"/>
          <w:sz w:val="22"/>
        </w:rPr>
        <w:t xml:space="preserve"> </w:t>
      </w:r>
      <w:r>
        <w:rPr>
          <w:sz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pPr>
            <w:r>
              <w:rPr>
                <w:color w:val="000000"/>
                <w:sz w:val="22"/>
              </w:rPr>
              <w:t xml:space="preserve">Attn.:  </w:t>
            </w:r>
            <w:r>
              <w:rPr>
                <w:color w:val="000000"/>
                <w:sz w:val="22"/>
                <w:u w:val="single"/>
              </w:rPr>
              <w:tab/>
            </w:r>
          </w:p>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Enron North America Corp., (i) Attention: Corporate Secretary, Fax No. (713) 853-2534, and (ii)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on </w:t>
        <w:tab/>
      </w:r>
      <w:r>
        <w:rPr>
          <w:sz w:val="22"/>
          <w:u w:val="single"/>
        </w:rPr>
        <w:tab/>
      </w:r>
      <w:r>
        <w:rPr>
          <w:sz w:val="22"/>
        </w:rPr>
        <w:t>, 200_,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spacing w:lineRule="atLeast" w:line="240"/>
        <w:ind w:start="5040" w:end="0"/>
        <w:jc w:val="both"/>
        <w:rPr>
          <w:sz w:val="22"/>
        </w:rPr>
      </w:pPr>
      <w:r>
        <w:rPr>
          <w:sz w:val="22"/>
        </w:rPr>
        <w:t xml:space="preserve">Title:  </w:t>
      </w:r>
      <w:r>
        <w:rPr>
          <w:sz w:val="22"/>
          <w:u w:val="single"/>
        </w:rPr>
        <w:tab/>
        <w:tab/>
        <w:tab/>
        <w:tab/>
        <w:tab/>
        <w:tab/>
      </w:r>
    </w:p>
    <w:p>
      <w:pPr>
        <w:pStyle w:val="Normal"/>
        <w:rPr>
          <w:sz w:val="22"/>
        </w:rPr>
      </w:pPr>
      <w:r>
        <w:rPr>
          <w:sz w:val="22"/>
        </w:rPr>
      </w:r>
    </w:p>
    <w:sectPr>
      <w:headerReference w:type="default" r:id="rId12"/>
      <w:headerReference w:type="first" r:id="rId13"/>
      <w:footerReference w:type="default" r:id="rId14"/>
      <w:footerReference w:type="first" r:id="rId15"/>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fldChar w:fldCharType="begin"/>
    </w:r>
    <w:r>
      <w:rPr>
        <w:sz w:val="16"/>
      </w:rPr>
      <w:instrText xml:space="preserve"> FILENAME \p </w:instrText>
    </w:r>
    <w:r>
      <w:rPr>
        <w:sz w:val="16"/>
      </w:rPr>
      <w:fldChar w:fldCharType="separate"/>
    </w:r>
    <w:r>
      <w:rPr>
        <w:sz w:val="16"/>
      </w:rPr>
      <w:t>/mnt/main-storage/datasets/enron-docs/doc/ENA_Kaiser_Derivative_Schedule.doc</w:t>
    </w:r>
    <w:r>
      <w:rPr>
        <w:sz w:val="16"/>
      </w:rPr>
      <w:fldChar w:fldCharType="end"/>
    </w:r>
  </w:p>
  <w:p>
    <w:pPr>
      <w:pStyle w:val="Footer"/>
      <w:widowControl/>
      <w:jc w:val="center"/>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9</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EXHIBIT A</w:t>
    </w:r>
  </w:p>
  <w:p>
    <w:pPr>
      <w:pStyle w:val="Expanded"/>
      <w:spacing w:before="0" w:after="0"/>
      <w:rPr>
        <w:b w:val="false"/>
        <w:caps w:val="false"/>
        <w:smallCaps w:val="false"/>
        <w:spacing w:val="0"/>
        <w:sz w:val="20"/>
      </w:rPr>
    </w:pPr>
    <w:r>
      <w:rPr>
        <w:b w:val="false"/>
        <w:caps w:val="false"/>
        <w:smallCaps w:val="false"/>
        <w:spacing w:val="0"/>
        <w:sz w:val="20"/>
      </w:rPr>
      <w:t>to Paragraph 13</w:t>
    </w:r>
  </w:p>
  <w:p>
    <w:pPr>
      <w:pStyle w:val="Normal"/>
      <w:jc w:val="center"/>
      <w:rPr/>
    </w:pPr>
    <w:r>
      <w:rPr/>
      <w:t>of 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sz w:val="20"/>
      </w:rPr>
    </w:pPr>
    <w:r>
      <w:rPr>
        <w:sz w:val="20"/>
      </w:rPr>
      <w:t>Exhibit A</w:t>
    </w:r>
  </w:p>
  <w:p>
    <w:pPr>
      <w:pStyle w:val="Footer"/>
      <w:widowControl/>
      <w:tabs>
        <w:tab w:val="clear" w:pos="4320"/>
        <w:tab w:val="right" w:pos="8640" w:leader="none"/>
      </w:tabs>
      <w:ind w:end="360"/>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lowerLetter"/>
      <w:lvlText w:val="(%1)"/>
      <w:lvlJc w:val="start"/>
      <w:pPr>
        <w:tabs>
          <w:tab w:val="num" w:pos="1440"/>
        </w:tabs>
        <w:ind w:start="1440" w:hanging="720"/>
      </w:pPr>
      <w:rPr/>
    </w:lvl>
  </w:abstractNum>
  <w:abstractNum w:abstractNumId="3">
    <w:lvl w:ilvl="0">
      <w:start w:val="1"/>
      <w:numFmt w:val="decimal"/>
      <w:lvlText w:val="(%1)"/>
      <w:lvlJc w:val="start"/>
      <w:pPr>
        <w:tabs>
          <w:tab w:val="num" w:pos="1485"/>
        </w:tabs>
        <w:ind w:start="1485" w:hanging="40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color w:val="0000FF"/>
      <w:sz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sz w:val="22"/>
    </w:rPr>
  </w:style>
  <w:style w:type="paragraph" w:styleId="Heading4">
    <w:name w:val="heading 4"/>
    <w:basedOn w:val="Normal"/>
    <w:next w:val="Normal"/>
    <w:qFormat/>
    <w:pPr>
      <w:keepNext w:val="true"/>
      <w:numPr>
        <w:ilvl w:val="3"/>
        <w:numId w:val="1"/>
      </w:numPr>
      <w:jc w:val="end"/>
      <w:outlineLvl w:val="3"/>
    </w:pPr>
    <w:rPr>
      <w:b/>
      <w:sz w:val="22"/>
      <w:u w:val="single"/>
    </w:rPr>
  </w:style>
  <w:style w:type="character" w:styleId="WW8Num9z0">
    <w:name w:val="WW8Num9z0"/>
    <w:qFormat/>
    <w:rPr/>
  </w:style>
  <w:style w:type="character" w:styleId="WW8Num11z0">
    <w:name w:val="WW8Num11z0"/>
    <w:qFormat/>
    <w:rPr/>
  </w:style>
  <w:style w:type="character" w:styleId="WW8Num19z0">
    <w:name w:val="WW8Num19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sz w:val="22"/>
    </w:rPr>
  </w:style>
  <w:style w:type="paragraph" w:styleId="BodyTextIndent3">
    <w:name w:val="Body Text Indent 3"/>
    <w:basedOn w:val="Normal"/>
    <w:qFormat/>
    <w:pPr>
      <w:widowControl w:val="false"/>
      <w:spacing w:lineRule="exact" w:line="240"/>
      <w:ind w:firstLine="720" w:start="720" w:end="0"/>
      <w:jc w:val="both"/>
    </w:pPr>
    <w:rPr>
      <w:sz w:val="22"/>
    </w:rPr>
  </w:style>
  <w:style w:type="paragraph" w:styleId="Justified">
    <w:name w:val="Justified"/>
    <w:basedOn w:val="Normal"/>
    <w:next w:val="Heading2"/>
    <w:qFormat/>
    <w:pPr>
      <w:widowControl w:val="false"/>
      <w:spacing w:before="0" w:after="120"/>
      <w:jc w:val="both"/>
    </w:pPr>
    <w:rPr>
      <w:rFonts w:ascii="Arial" w:hAnsi="Arial" w:cs="Arial"/>
      <w:sz w:val="22"/>
    </w:rPr>
  </w:style>
  <w:style w:type="paragraph" w:styleId="BodyText2">
    <w:name w:val="Body Text 2"/>
    <w:basedOn w:val="Normal"/>
    <w:qFormat/>
    <w:pPr>
      <w:widowControl w:val="false"/>
      <w:spacing w:lineRule="exact" w:line="240"/>
      <w:ind w:hanging="0" w:start="720" w:end="0"/>
      <w:jc w:val="both"/>
    </w:pPr>
    <w:rPr>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rPr>
  </w:style>
  <w:style w:type="paragraph" w:styleId="Footer">
    <w:name w:val="footer"/>
    <w:basedOn w:val="Normal"/>
    <w:pPr>
      <w:widowControl w:val="false"/>
      <w:tabs>
        <w:tab w:val="clear" w:pos="720"/>
        <w:tab w:val="center" w:pos="4320" w:leader="none"/>
        <w:tab w:val="right" w:pos="8640" w:leader="none"/>
      </w:tabs>
    </w:pPr>
    <w:rPr>
      <w:sz w:val="22"/>
    </w:rPr>
  </w:style>
  <w:style w:type="paragraph" w:styleId="FootnoteText">
    <w:name w:val="footnote text"/>
    <w:basedOn w:val="Normal"/>
    <w:pPr>
      <w:widowControl w:val="false"/>
    </w:pPr>
    <w:rPr>
      <w:sz w:val="22"/>
    </w:rPr>
  </w:style>
  <w:style w:type="paragraph" w:styleId="BodyTextIndent">
    <w:name w:val="Body Text Indent"/>
    <w:basedOn w:val="Normal"/>
    <w:pPr>
      <w:ind w:hanging="0" w:start="1080" w:end="0"/>
      <w:jc w:val="both"/>
    </w:pPr>
    <w:rPr>
      <w:sz w:val="22"/>
    </w:rPr>
  </w:style>
  <w:style w:type="paragraph" w:styleId="Expanded">
    <w:name w:val="Expanded"/>
    <w:basedOn w:val="Normal"/>
    <w:next w:val="Normal"/>
    <w:qFormat/>
    <w:pPr>
      <w:spacing w:before="0" w:after="240"/>
      <w:jc w:val="center"/>
    </w:pPr>
    <w:rPr>
      <w:b/>
      <w:caps/>
      <w:spacing w:val="6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2000-03-21T14:05:00Z</dcterms:created>
  <dc:creator>mheard</dc:creator>
  <dc:description/>
  <dc:language>en-CA</dc:language>
  <cp:lastModifiedBy>cstclai</cp:lastModifiedBy>
  <cp:lastPrinted>2000-03-06T17:52:00Z</cp:lastPrinted>
  <dcterms:modified xsi:type="dcterms:W3CDTF">2000-03-21T14:05:00Z</dcterms:modified>
  <cp:revision>2</cp:revision>
  <dc:subject/>
  <dc:title>ISDA Multicurrency Agreement</dc:title>
</cp:coreProperties>
</file>