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widowControl/>
        <w:numPr>
          <w:ilvl w:val="0"/>
          <w:numId w:val="0"/>
        </w:numPr>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outlineLvl w:val="0"/>
        <w:rPr>
          <w:u w:val="single"/>
        </w:rPr>
      </w:pPr>
      <w:r>
        <w:rPr>
          <w:u w:val="single"/>
        </w:rPr>
        <w:t>Guaranty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r>
      <w:r>
        <w:rPr>
          <w:sz w:val="22"/>
        </w:rPr>
        <w:t xml:space="preserve">This Guaranty Agreement (the "Guaranty"), dated as of </w:t>
      </w:r>
      <w:r>
        <w:rPr>
          <w:sz w:val="22"/>
          <w:u w:val="single"/>
        </w:rPr>
        <w:t xml:space="preserve">    May 8      </w:t>
      </w:r>
      <w:r>
        <w:rPr>
          <w:sz w:val="22"/>
        </w:rPr>
        <w:t xml:space="preserve">, </w:t>
      </w:r>
      <w:r>
        <w:rPr>
          <w:sz w:val="22"/>
          <w:u w:val="single"/>
        </w:rPr>
        <w:t>2001</w:t>
      </w:r>
      <w:r>
        <w:rPr>
          <w:sz w:val="22"/>
        </w:rPr>
        <w:t xml:space="preserve">, is made and entered into by Enron Corp., a </w:t>
      </w:r>
      <w:r>
        <w:rPr>
          <w:sz w:val="22"/>
          <w:u w:val="single"/>
        </w:rPr>
        <w:tab/>
        <w:tab/>
        <w:tab/>
      </w:r>
      <w:r>
        <w:rPr>
          <w:sz w:val="22"/>
        </w:rPr>
        <w:t xml:space="preserve"> corporation ("Guarantor").</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numPr>
          <w:ilvl w:val="0"/>
          <w:numId w:val="0"/>
        </w:numPr>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outlineLvl w:val="0"/>
        <w:rPr>
          <w:b/>
        </w:rPr>
      </w:pPr>
      <w:r>
        <w:rPr>
          <w:b/>
        </w:rPr>
        <w:t>W I T N E S S E T H:</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 xml:space="preserve">WHEREAS, </w:t>
      </w:r>
      <w:r>
        <w:rPr>
          <w:sz w:val="22"/>
        </w:rPr>
        <w:t xml:space="preserve">Pioneer Natural Resources USA, Inc a </w:t>
      </w:r>
      <w:r>
        <w:rPr>
          <w:sz w:val="22"/>
          <w:u w:val="single"/>
        </w:rPr>
        <w:t xml:space="preserve">Delaware </w:t>
      </w:r>
      <w:r>
        <w:rPr>
          <w:sz w:val="22"/>
        </w:rPr>
        <w:t>corporation ("Creditor") and ENA Upstream Company, LLC (“Debtor”), an affiliate of Guarantor, are contemplating entering into one or more transactions involving the purchase, sale or exchange of natural gas, electric energy, coal, emission credits and/or other commodity transactions, which transactions will be evidenced by one or more purchase and sale agreements, confirmations and/or master agreements, and all such transactions and the agreements evidencing same (whether entered into prior to, on or after the date hereof, as the same may be modified, amended and supplemented) shall be herein referred to collectively as the “Agreements”.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 xml:space="preserve">WHEREAS, </w:t>
      </w:r>
      <w:r>
        <w:rPr>
          <w:sz w:val="22"/>
        </w:rPr>
        <w:t>Guarantor has benefited and in the future will directly or indirectly benefit from the Agreements to be entered into between ENA Upstream Company, LLC and Pioneer Natural Resources USA, Inc.;</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 xml:space="preserve">NOW THEREFORE, </w:t>
      </w:r>
      <w:r>
        <w:rPr>
          <w:sz w:val="22"/>
        </w:rPr>
        <w:t>in consideration of Creditor entering into the Agreements, Guarantor hereby covenants and agrees as follows: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sz w:val="22"/>
        </w:rPr>
        <w:tab/>
      </w:r>
      <w:r>
        <w:rPr/>
        <w:t>1.</w:t>
        <w:tab/>
      </w:r>
      <w:r>
        <w:rPr>
          <w:u w:val="single"/>
        </w:rPr>
        <w:t>GUARANTY</w:t>
      </w:r>
      <w:r>
        <w:rPr/>
        <w:t xml:space="preserve">.  </w:t>
      </w:r>
      <w:r>
        <w:rPr>
          <w:sz w:val="22"/>
        </w:rPr>
        <w:t>Subject to the provisions hereof and any applicable cure period provided in the Agreements, Guarantor hereby irrevocably and unconditionally guarantees the timely payment and performance when due whether by acceleration or otherwise, of all indebtedness, liabilities, or undertakings owed by Debtor in accordance with the terms and conditions of the obligations of Debtor (the "Obligations") to Creditor under the Agreements, including all reasonable legal fees, costs and expenses incurred in enforcing the obligations under the Guaranty.  To the extent that Debtor shall fail to pay any Obligations when due, Guarantor shall promptly pay to Creditor the amount due.  This Guaranty shall constitute a guarantee of payment and performance and not of collection.  The liability of Guarantor under this Guaranty shall be limited to the following:</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sz w:val="22"/>
        </w:rPr>
        <w:tab/>
        <w:tab/>
        <w:t>(a)</w:t>
        <w:tab/>
        <w:t xml:space="preserve">Notwithstanding anything in this Guaranty to the contrary, the aggregate amount covered by this Guaranty shall not exceed  </w:t>
      </w:r>
      <w:r>
        <w:rPr>
          <w:sz w:val="22"/>
          <w:u w:val="single"/>
        </w:rPr>
        <w:t>$5,000,000.00</w:t>
      </w:r>
      <w:r>
        <w:rPr>
          <w:sz w:val="22"/>
        </w:rPr>
        <w:t xml:space="preserve"> (the “Guarantee Cap”).</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2.</w:t>
        <w:tab/>
      </w:r>
      <w:r>
        <w:rPr>
          <w:u w:val="single"/>
        </w:rPr>
        <w:t>DEMANDS AND NOTICE</w:t>
      </w:r>
      <w:r>
        <w:rPr/>
        <w:t xml:space="preserve">.  </w:t>
      </w:r>
      <w:r>
        <w:rPr>
          <w:sz w:val="22"/>
        </w:rPr>
        <w:t>In the event of default by Debtor in payment of any indebtedness or any part thereof or breach of any term or condition of any Agreements, including, but not limited to, anticipatory breach, insolvency, inability to pay debts as they mature, or assignments for the benefit of creditors or institution of similar proceedings by or against Debtor alleging any of these events, recovery may be had against Guarantor for all Obligations.   If Creditor elects to exercise its rights under this Guaranty, Creditor shall make a demand upon Guarantor (hereinafter referred to as a "Payment Demand").  A Payment Demand shall be in writing and shall reasonably and briefly specify in what manner and what amount Debtor has failed to pay and an explanation of why such payment is due, with a specific statement that Creditor is calling upon Guarantor to pay under this Guaranty.  A Payment Demand satisfying the foregoing requirements when delivered to Guarantor pursuant to Paragraph 6 of this Guaranty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that complies with the terms of this Paragraph 2 shall be effective as to any specific failure to pay during the continuance of such failure to pay, until Debtor or Guarantor has cured such failure to pay, and additional written demands concerning such failure to pay shall not be required until such failure to pay is cured.</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sz w:val="22"/>
        </w:rPr>
        <w:tab/>
      </w:r>
      <w:r>
        <w:rPr/>
        <w:t>3.</w:t>
        <w:tab/>
      </w:r>
      <w:r>
        <w:rPr>
          <w:u w:val="single"/>
        </w:rPr>
        <w:t>REPRESENTATIONS AND WARRANTIES</w:t>
      </w:r>
      <w:r>
        <w:rPr/>
        <w:t xml:space="preserve">.  </w:t>
      </w:r>
      <w:r>
        <w:rPr>
          <w:sz w:val="22"/>
        </w:rPr>
        <w:t>Guarantor represents and warrants that:</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tab/>
        <w:tab/>
        <w:t>(a)</w:t>
        <w:tab/>
        <w:t>it is a corporation duly organized and validly existing under the laws of the State of _____________ and has the corporate power and authority to execute, deliver and carry out the terms and provisions of this Guaranty;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tab/>
        <w:tab/>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tab/>
        <w:tab/>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tab/>
        <w:tab/>
        <w:t>(d)</w:t>
        <w:tab/>
        <w:t>Guarantor has adequate means to obtain from Debtor on a continuing basis, information concerning the financial conditions of Debtor and is not relying on Creditor to provide such information, now or in the future.</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sz w:val="22"/>
        </w:rPr>
        <w:tab/>
      </w:r>
      <w:r>
        <w:rPr/>
        <w:t>4.</w:t>
        <w:tab/>
      </w:r>
      <w:r>
        <w:rPr>
          <w:u w:val="single"/>
        </w:rPr>
        <w:t>DEFENSES.</w:t>
      </w:r>
      <w:r>
        <w:rPr/>
        <w:t xml:space="preserve">   </w:t>
      </w:r>
      <w:r>
        <w:rPr>
          <w:sz w:val="22"/>
        </w:rPr>
        <w:t>Without limiting Guarantor’s own defenses and rights hereunder, Guarantor reserves to itself all defenses to which Debtor is or may be entitled to, relating to or arising from this Agreement, except for defenses relating to, arising from or out of, or affected by, the bankruptcy, insolvency, dissolution or liquidation of Debtor.</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sz w:val="22"/>
        </w:rPr>
        <w:tab/>
      </w:r>
      <w:r>
        <w:rPr/>
        <w:t>5.</w:t>
        <w:tab/>
      </w:r>
      <w:r>
        <w:rPr>
          <w:u w:val="single"/>
        </w:rPr>
        <w:t>AMENDMENT OF GUARANTY</w:t>
      </w:r>
      <w:r>
        <w:rPr/>
        <w:t xml:space="preserve">.  </w:t>
      </w:r>
      <w:r>
        <w:rPr>
          <w:sz w:val="22"/>
        </w:rPr>
        <w:t>No term or provision of this Guaranty shall be amended, modified, altered, waived or supplemented except in writing signed by Guarantor and Creditor.</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numPr>
          <w:ilvl w:val="0"/>
          <w:numId w:val="1"/>
        </w:numPr>
        <w:tabs>
          <w:tab w:val="clear" w:pos="709"/>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u w:val="single"/>
        </w:rPr>
        <w:t>WAIVERS</w:t>
      </w:r>
      <w:r>
        <w:rPr/>
        <w:t xml:space="preserve">.  </w:t>
      </w:r>
      <w:r>
        <w:rPr>
          <w:sz w:val="22"/>
        </w:rPr>
        <w:t>Guarantor hereby waives (a) notice of acceptance of this Guaranty; (b) presentment and demand concerning the liabilities of Guarantor, except as provided in Paragraphs 1 and 2 hereof; and (c) any right to require that any action or proceeding be brought against Debtor or any other person, or except as expressly provided herein, to require that Creditor seek enforcement of any performance against Debtor or any other person, prior to any action against Guarantor under the terms hereof.  Except as to applicable statutes of limitation, no delay of Creditor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Agreements; provided, however, that in no event shall the aggregate amount of Guarantor’s liability under this Guaranty, as limited by Section 1(b) above, be increased as a result of any such change or modification.</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u w:val="single"/>
        </w:rPr>
      </w:pPr>
      <w:r>
        <w:rPr>
          <w:sz w:val="22"/>
          <w:u w:val="single"/>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tab/>
        <w:t>The Guaranty is absolute and unconditional irrespective of any change in the existence, structure, or ownership of Guarantor or Debtor or any insolvency, bankruptcy, reorganization, or other similar proceedings.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tab/>
        <w:t>This Guaranty shall expire and terminate on 5/15/2002 (“Termination Effective Date”). No such termination shall affect Guarantor's liability with respect to any transactions entered into prior to the time the termination is effective, which transactions and the obligations of Debtor with respect thereto under the Agreements, shall remain guaranteed pursuant to the terms of this Guaranty.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tab/>
        <w:t>This Guaranty shall continue to be effective or be reinstated, as the case may be, if at any time any payment of any of the guaranteed Obligations is rescinded or must otherwise be returned by Creditor upon the insolvency, bankruptcy, or reorganization of Debtor or any other guarantor or otherwise, all as though such payment had not been made.</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sz w:val="22"/>
        </w:rPr>
        <w:tab/>
      </w:r>
      <w:r>
        <w:rPr/>
        <w:t>7.</w:t>
        <w:tab/>
      </w:r>
      <w:r>
        <w:rPr>
          <w:u w:val="single"/>
        </w:rPr>
        <w:t>NOTICE</w:t>
      </w:r>
      <w:r>
        <w:rPr/>
        <w:t xml:space="preserve">.  </w:t>
      </w:r>
      <w:r>
        <w:rPr>
          <w:sz w:val="22"/>
        </w:rPr>
        <w:t>Any Payment Demand, notice, request, instruction, correspondence or other document to be given hereunder by any party to another (herein collectively called “Notice") shall be in writing and delivered personally or mailed by certified mail or overnight express delivery, postage prepaid and return receipt requested, or by telegram or telecopier, as follows: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numPr>
          <w:ilvl w:val="0"/>
          <w:numId w:val="0"/>
        </w:numPr>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outlineLvl w:val="0"/>
        <w:rPr/>
      </w:pPr>
      <w:r>
        <w:rPr/>
        <w:tab/>
        <w:t>To Guarantor:</w:t>
        <w:tab/>
        <w:tab/>
        <w:t>Enron Corp.</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Address: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City, State, Zip:</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Attn:</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 xml:space="preserve">Phone: </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 xml:space="preserve">Fax No.: </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To Creditor:</w:t>
        <w:tab/>
        <w:tab/>
        <w:t>Pioneer Natural Resources USA, Inc.</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5201 N. O’Connor Blvd. Suite 1400 W.</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Irving, TX  75039</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Attn:  Treasury Manager</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 xml:space="preserve">Phone: </w:t>
        <w:tab/>
        <w:t>(972) 969-3670</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 xml:space="preserve">Fax No.:  </w:t>
        <w:tab/>
      </w:r>
      <w:r>
        <w:rPr>
          <w:lang w:val="en-CA"/>
        </w:rPr>
        <w:t>(</w:t>
      </w:r>
      <w:r>
        <w:rPr/>
        <w:t>972) 969-3590</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actual receipt if not received during the recipient's normal business hours.  All Notices by telegram or telecopier shall be confirmed promptly after transmission in writing by certified mail, overnight express delivery or personal delivery.  Any party may change any address to which Notice is to be given to it by giving notice as provided above of such change of address.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keepNext w:val="true"/>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tab/>
      </w:r>
    </w:p>
    <w:p>
      <w:pPr>
        <w:pStyle w:val="DefaultText"/>
        <w:keepNext w:val="true"/>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keepNext w:val="true"/>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keepNext w:val="true"/>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sz w:val="22"/>
        </w:rPr>
        <w:tab/>
      </w:r>
      <w:r>
        <w:rPr/>
        <w:t>8.</w:t>
        <w:tab/>
      </w:r>
      <w:r>
        <w:rPr>
          <w:u w:val="single"/>
        </w:rPr>
        <w:t>MISCELLANEOUS</w:t>
      </w:r>
      <w:r>
        <w:rPr/>
        <w:t xml:space="preserve">.  THIS GUARANTY SHALL IN ALL RESPECTS BE GOVERNED BY, AND CONSTRUED IN ACCORDANCE WITH, THE LAW OF THE STATE OF TEXAS, WITHOUT REGARD TO PRINCIPLES OF CONFLICTS OF LAWS.  </w:t>
      </w:r>
      <w:r>
        <w:rPr>
          <w:sz w:val="22"/>
        </w:rPr>
        <w:t>This Guaranty shall be binding upon Guarantor, its successors and assigns and inure to the benefit of and be enforceable by Creditor, its successors and assigns.  Guarantor may not assign or delegate its obligations hereunder without prior written consent of Creditor, which consent may be withheld in Creditor’s sole and absolute discretion.  Creditor may, upon written notice to Guarantor, assign its rights hereunder without the consent of Guarantor.  The Guaranty embodies the entire agreement and understanding between Guarantor and Creditor and supersedes all prior and contemporaneous agreements and understandings relating to the subject matter hereof.  The headings in this Guaranty are for purposes of reference only, and shall not affect the meaning hereof.</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2"/>
        </w:rPr>
      </w:pPr>
      <w:r>
        <w:rPr>
          <w:sz w:val="22"/>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sz w:val="22"/>
        </w:rPr>
        <w:tab/>
      </w:r>
      <w:r>
        <w:rPr/>
        <w:t xml:space="preserve">IN WITNESS WHEREOF, the Guarantor has executed this Guaranty on </w:t>
      </w:r>
      <w:r>
        <w:rPr>
          <w:u w:val="single"/>
        </w:rPr>
        <w:t xml:space="preserve">                  </w:t>
      </w:r>
      <w:r>
        <w:rPr/>
        <w:t xml:space="preserve">, </w:t>
      </w:r>
      <w:r>
        <w:rPr>
          <w:u w:val="single"/>
        </w:rPr>
        <w:t>2001</w:t>
      </w:r>
      <w:r>
        <w:rPr/>
        <w:t>, but it is effective as of the date first above written.</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b/>
        <w:tab/>
        <w:t>Enron Corp.</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b/>
        <w:tab/>
        <w:t>By: _________________________________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b/>
        <w:tab/>
        <w:t>Name: _______________________________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b/>
        <w:tab/>
        <w:t>Title: ________________________________</w:t>
      </w:r>
    </w:p>
    <w:p>
      <w:pPr>
        <w:pStyle w:val="DefaultText"/>
        <w:widowControl/>
        <w:jc w:val="both"/>
        <w:rPr/>
      </w:pPr>
      <w:r>
        <w:rPr/>
      </w:r>
    </w:p>
    <w:p>
      <w:pPr>
        <w:pStyle w:val="DefaultText"/>
        <w:widowControl/>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keepLines/>
      <w:spacing w:before="144" w:after="72"/>
      <w:jc w:val="center"/>
    </w:pPr>
    <w:rPr>
      <w:rFonts w:ascii="Arial" w:hAnsi="Arial" w:cs="Arial"/>
      <w:b/>
      <w:bCs/>
      <w:sz w:val="36"/>
      <w:szCs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rPr>
      <w:sz w:val="24"/>
      <w:szCs w:val="24"/>
    </w:rPr>
  </w:style>
  <w:style w:type="paragraph" w:styleId="Footer">
    <w:name w:val="footer"/>
    <w:basedOn w:val="Normal"/>
    <w:pPr/>
    <w:rPr>
      <w:sz w:val="24"/>
      <w:szCs w:val="24"/>
    </w:rPr>
  </w:style>
  <w:style w:type="paragraph" w:styleId="Subhead">
    <w:name w:val="Subhead"/>
    <w:basedOn w:val="Normal"/>
    <w:qFormat/>
    <w:pPr>
      <w:spacing w:before="72" w:after="72"/>
    </w:pPr>
    <w:rPr>
      <w:b/>
      <w:bCs/>
      <w:i/>
      <w:iCs/>
      <w:sz w:val="24"/>
      <w:szCs w:val="24"/>
    </w:rPr>
  </w:style>
  <w:style w:type="paragraph" w:styleId="NumberList">
    <w:name w:val="Number List"/>
    <w:basedOn w:val="Normal"/>
    <w:qFormat/>
    <w:pPr/>
    <w:rPr>
      <w:sz w:val="24"/>
      <w:szCs w:val="24"/>
    </w:rPr>
  </w:style>
  <w:style w:type="paragraph" w:styleId="Bullet1">
    <w:name w:val="Bullet 1"/>
    <w:basedOn w:val="Normal"/>
    <w:qFormat/>
    <w:pPr/>
    <w:rPr>
      <w:sz w:val="24"/>
      <w:szCs w:val="24"/>
    </w:rPr>
  </w:style>
  <w:style w:type="paragraph" w:styleId="Bullet">
    <w:name w:val="Bullet"/>
    <w:basedOn w:val="Normal"/>
    <w:qFormat/>
    <w:pPr/>
    <w:rPr>
      <w:sz w:val="24"/>
      <w:szCs w:val="24"/>
    </w:rPr>
  </w:style>
  <w:style w:type="paragraph" w:styleId="BodySingle">
    <w:name w:val="Body Single"/>
    <w:basedOn w:val="Normal"/>
    <w:qFormat/>
    <w:pPr/>
    <w:rPr>
      <w:sz w:val="24"/>
      <w:szCs w:val="24"/>
    </w:rPr>
  </w:style>
  <w:style w:type="paragraph" w:styleId="DefaultText">
    <w:name w:val="Default Text"/>
    <w:basedOn w:val="Normal"/>
    <w:qFormat/>
    <w:pPr/>
    <w:rPr>
      <w:sz w:val="24"/>
      <w:szCs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2001-05-08T17:18:00Z</dcterms:created>
  <dc:creator/>
  <dc:description/>
  <dc:language>en-CA</dc:language>
  <cp:lastModifiedBy>Pioneer Natural Resources</cp:lastModifiedBy>
  <cp:lastPrinted>2001-05-08T17:14:00Z</cp:lastPrinted>
  <dcterms:modified xsi:type="dcterms:W3CDTF">2001-05-08T19:59:00Z</dcterms:modified>
  <cp:revision>14</cp:revision>
  <dc:subject/>
  <dc:title>ENA Upstream</dc:title>
</cp:coreProperties>
</file>