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sz w:val="20"/>
        </w:rPr>
        <w:t xml:space="preserve">1. </w:t>
      </w:r>
      <w:r>
        <w:rPr>
          <w:rFonts w:cs="Arial" w:ascii="Arial" w:hAnsi="Arial"/>
          <w:b/>
          <w:sz w:val="20"/>
          <w:u w:val="single"/>
        </w:rPr>
        <w:t>Representations</w:t>
      </w:r>
      <w:r>
        <w:rPr>
          <w:rFonts w:cs="Arial" w:ascii="Arial" w:hAnsi="Arial"/>
          <w:sz w:val="20"/>
        </w:rPr>
        <w:t xml:space="preserve">. Each of Enron and Counterparty represents and warrants to the other that (a) </w:t>
      </w:r>
      <w:r>
        <w:rPr>
          <w:rFonts w:cs="Arial" w:ascii="Arial" w:hAnsi="Arial"/>
          <w:sz w:val="20"/>
          <w:u w:val="single"/>
        </w:rPr>
        <w:t>Authority/Taxation</w:t>
      </w:r>
      <w:r>
        <w:rPr>
          <w:rFonts w:cs="Arial" w:ascii="Arial" w:hAnsi="Arial"/>
          <w:sz w:val="20"/>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w:ascii="Arial" w:hAnsi="Arial"/>
          <w:sz w:val="20"/>
          <w:u w:val="single"/>
        </w:rPr>
        <w:t>Eligible Swap Participant</w:t>
      </w:r>
      <w:r>
        <w:rPr>
          <w:rFonts w:cs="Arial" w:ascii="Arial" w:hAnsi="Arial"/>
          <w:sz w:val="20"/>
        </w:rPr>
        <w:t xml:space="preserve"> (i) it constitutes an "eligible swap participant" as such term is defined in 17 C.F.R. Section 35.1(b)(2), and (ii) this Transaction constitutes a "swap agreement" within the meaning of 17 C.F.R. Section 35.1(b)(1); and (c) </w:t>
      </w:r>
      <w:r>
        <w:rPr>
          <w:rFonts w:cs="Arial" w:ascii="Arial" w:hAnsi="Arial"/>
          <w:sz w:val="20"/>
          <w:u w:val="single"/>
        </w:rPr>
        <w:t>Line of Business</w:t>
      </w:r>
      <w:r>
        <w:rPr>
          <w:rFonts w:cs="Arial" w:ascii="Arial" w:hAnsi="Arial"/>
          <w:sz w:val="20"/>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w:ascii="Arial" w:hAnsi="Arial"/>
          <w:sz w:val="20"/>
          <w:u w:val="single"/>
        </w:rPr>
        <w:t>No Reliance</w:t>
      </w:r>
      <w:r>
        <w:rPr>
          <w:rFonts w:cs="Arial" w:ascii="Arial" w:hAnsi="Arial"/>
          <w:sz w:val="20"/>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 xml:space="preserve">2. </w:t>
      </w:r>
      <w:r>
        <w:rPr>
          <w:rFonts w:cs="Arial" w:ascii="Arial" w:hAnsi="Arial"/>
          <w:b/>
          <w:sz w:val="20"/>
          <w:u w:val="single"/>
        </w:rPr>
        <w:t>Payments</w:t>
      </w:r>
      <w:r>
        <w:rPr>
          <w:rFonts w:cs="Arial" w:ascii="Arial" w:hAnsi="Arial"/>
          <w:sz w:val="20"/>
        </w:rPr>
        <w:t xml:space="preserve">. For each Determination Period, on the applicable Payment Date with respect to (a) a </w:t>
      </w:r>
      <w:r>
        <w:rPr>
          <w:rFonts w:cs="Arial" w:ascii="Arial" w:hAnsi="Arial"/>
          <w:sz w:val="20"/>
          <w:u w:val="single"/>
        </w:rPr>
        <w:t>SWAP</w:t>
      </w:r>
      <w:r>
        <w:rPr>
          <w:rFonts w:cs="Arial" w:ascii="Arial" w:hAnsi="Arial"/>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w:ascii="Arial" w:hAnsi="Arial"/>
          <w:sz w:val="20"/>
          <w:u w:val="single"/>
        </w:rPr>
        <w:t>OPTION</w:t>
      </w:r>
      <w:r>
        <w:rPr>
          <w:rFonts w:cs="Arial" w:ascii="Arial" w:hAnsi="Arial"/>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w:ascii="Arial" w:hAnsi="Arial"/>
          <w:sz w:val="20"/>
          <w:u w:val="single"/>
        </w:rPr>
        <w:t>Collar</w:t>
      </w:r>
      <w:r>
        <w:rPr>
          <w:rFonts w:cs="Arial" w:ascii="Arial" w:hAnsi="Arial"/>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w:ascii="Arial" w:hAnsi="Arial"/>
          <w:sz w:val="20"/>
          <w:u w:val="single"/>
        </w:rPr>
        <w:t>Swaption</w:t>
      </w:r>
      <w:r>
        <w:rPr>
          <w:rFonts w:cs="Arial" w:ascii="Arial" w:hAnsi="Arial"/>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w:ascii="Arial" w:hAnsi="Arial"/>
          <w:sz w:val="20"/>
          <w:u w:val="single"/>
        </w:rPr>
        <w:t>TOTAL Premium</w:t>
      </w:r>
      <w:r>
        <w:rPr>
          <w:rFonts w:cs="Arial" w:ascii="Arial" w:hAnsi="Arial"/>
          <w:sz w:val="20"/>
        </w:rPr>
        <w:t xml:space="preserve">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jc w:val="both"/>
        <w:rPr>
          <w:rFonts w:ascii="Arial" w:hAnsi="Arial" w:cs="Arial"/>
          <w:sz w:val="20"/>
        </w:rPr>
      </w:pPr>
      <w:r>
        <w:rPr>
          <w:rFonts w:cs="Arial" w:ascii="Arial" w:hAnsi="Arial"/>
          <w:sz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rFonts w:ascii="Arial" w:hAnsi="Arial" w:cs="Arial"/>
          <w:sz w:val="20"/>
        </w:rPr>
      </w:pPr>
      <w:r>
        <w:rPr>
          <w:rFonts w:cs="Arial" w:ascii="Arial" w:hAnsi="Arial"/>
          <w:sz w:val="20"/>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jc w:val="both"/>
        <w:rPr/>
      </w:pPr>
      <w:r>
        <w:rPr>
          <w:rFonts w:cs="Arial" w:ascii="Arial" w:hAnsi="Arial"/>
          <w:sz w:val="20"/>
        </w:rPr>
        <w:t xml:space="preserve">3. </w:t>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jc w:val="both"/>
        <w:rPr/>
      </w:pPr>
      <w:r>
        <w:rPr>
          <w:rFonts w:cs="Arial" w:ascii="Arial" w:hAnsi="Arial"/>
          <w:sz w:val="20"/>
        </w:rPr>
        <w:t xml:space="preserve">4. </w:t>
      </w:r>
      <w:r>
        <w:rPr>
          <w:rFonts w:cs="Arial" w:ascii="Arial" w:hAnsi="Arial"/>
          <w:b/>
          <w:sz w:val="20"/>
          <w:u w:val="single"/>
        </w:rPr>
        <w:t>Remedies</w:t>
      </w:r>
      <w:r>
        <w:rPr>
          <w:rFonts w:cs="Arial" w:ascii="Arial" w:hAnsi="Arial"/>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w:ascii="Arial" w:hAnsi="Arial"/>
          <w:sz w:val="20"/>
          <w:u w:val="single"/>
        </w:rPr>
        <w:t>Losses</w:t>
      </w:r>
      <w:r>
        <w:rPr>
          <w:rFonts w:cs="Arial" w:ascii="Arial" w:hAnsi="Arial"/>
          <w:sz w:val="20"/>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sz w:val="20"/>
        </w:rPr>
        <w:t xml:space="preserve">5. </w:t>
      </w:r>
      <w:r>
        <w:rPr>
          <w:rFonts w:cs="Arial" w:ascii="Arial" w:hAnsi="Arial"/>
          <w:b/>
          <w:sz w:val="20"/>
          <w:u w:val="single"/>
        </w:rPr>
        <w:t>Setoff</w:t>
      </w:r>
      <w:r>
        <w:rPr>
          <w:rFonts w:cs="Arial" w:ascii="Arial" w:hAnsi="Arial"/>
          <w:sz w:val="20"/>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6. </w:t>
      </w:r>
      <w:r>
        <w:rPr>
          <w:rFonts w:cs="Arial" w:ascii="Arial" w:hAnsi="Arial"/>
          <w:b/>
          <w:sz w:val="20"/>
          <w:u w:val="single"/>
        </w:rPr>
        <w:t>Miscellaneous</w:t>
      </w:r>
      <w:r>
        <w:rPr>
          <w:rFonts w:cs="Arial" w:ascii="Arial" w:hAnsi="Arial"/>
          <w:sz w:val="20"/>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jc w:val="both"/>
        <w:rPr>
          <w:rFonts w:ascii="Arial" w:hAnsi="Arial" w:cs="Arial"/>
          <w:sz w:val="20"/>
        </w:rPr>
      </w:pPr>
      <w:r>
        <w:rPr>
          <w:rFonts w:cs="Arial" w:ascii="Arial" w:hAnsi="Arial"/>
          <w:sz w:val="20"/>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jc w:val="both"/>
        <w:rPr>
          <w:rFonts w:ascii="Arial" w:hAnsi="Arial" w:cs="Arial"/>
          <w:sz w:val="20"/>
        </w:rPr>
      </w:pPr>
      <w:r>
        <w:rPr>
          <w:rFonts w:cs="Arial" w:ascii="Arial" w:hAnsi="Arial"/>
          <w:sz w:val="20"/>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jc w:val="both"/>
        <w:rPr/>
      </w:pPr>
      <w:r>
        <w:rPr>
          <w:rFonts w:cs="Arial" w:ascii="Arial" w:hAnsi="Arial"/>
          <w:sz w:val="20"/>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jc w:val="both"/>
        <w:rPr/>
      </w:pPr>
      <w:r>
        <w:rPr>
          <w:rFonts w:cs="Arial" w:ascii="Arial" w:hAnsi="Arial"/>
          <w:sz w:val="20"/>
        </w:rPr>
        <w:t xml:space="preserve">7. </w:t>
      </w:r>
      <w:r>
        <w:rPr>
          <w:rFonts w:cs="Arial" w:ascii="Arial" w:hAnsi="Arial"/>
          <w:b/>
          <w:sz w:val="20"/>
          <w:u w:val="single"/>
        </w:rPr>
        <w:t>Market Disruption</w:t>
      </w:r>
      <w:r>
        <w:rPr>
          <w:rFonts w:cs="Arial" w:ascii="Arial" w:hAnsi="Arial"/>
          <w:sz w:val="20"/>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jc w:val="both"/>
        <w:rPr/>
      </w:pPr>
      <w:r>
        <w:rPr>
          <w:rFonts w:cs="Arial" w:ascii="Arial" w:hAnsi="Arial"/>
          <w:sz w:val="20"/>
        </w:rPr>
        <w:t xml:space="preserve">8. </w:t>
      </w:r>
      <w:r>
        <w:rPr>
          <w:rFonts w:cs="Arial" w:ascii="Arial" w:hAnsi="Arial"/>
          <w:b/>
          <w:sz w:val="20"/>
          <w:u w:val="single"/>
        </w:rPr>
        <w:t>Collateral Arrangements</w:t>
      </w:r>
      <w:r>
        <w:rPr>
          <w:rFonts w:cs="Arial" w:ascii="Arial" w:hAnsi="Arial"/>
          <w:sz w:val="20"/>
        </w:rPr>
        <w:t>.</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jc w:val="both"/>
        <w:rPr/>
      </w:pPr>
      <w:r>
        <w:rPr>
          <w:rFonts w:cs="Arial" w:ascii="Arial" w:hAnsi="Arial"/>
          <w:sz w:val="20"/>
        </w:rPr>
        <w:t xml:space="preserve">9. </w:t>
      </w:r>
      <w:r>
        <w:rPr>
          <w:rFonts w:cs="Arial" w:ascii="Arial" w:hAnsi="Arial"/>
          <w:b/>
          <w:sz w:val="20"/>
          <w:u w:val="single"/>
        </w:rPr>
        <w:t>General Definitions</w:t>
      </w:r>
      <w:r>
        <w:rPr>
          <w:rFonts w:cs="Arial" w:ascii="Arial" w:hAnsi="Arial"/>
          <w:sz w:val="20"/>
        </w:rPr>
        <w:t>. Terms used, but not defined in this GTC, are used with the meanings provided on the Website or in any written confirmation. As used in this GTC:</w:t>
      </w:r>
    </w:p>
    <w:p>
      <w:pPr>
        <w:pStyle w:val="Normal"/>
        <w:jc w:val="both"/>
        <w:rPr/>
      </w:pPr>
      <w:r>
        <w:rPr>
          <w:rFonts w:cs="Arial" w:ascii="Arial" w:hAnsi="Arial"/>
          <w:i/>
          <w:sz w:val="20"/>
        </w:rPr>
        <w:t>"</w:t>
      </w:r>
      <w:r>
        <w:rPr>
          <w:rFonts w:cs="Arial" w:ascii="Arial" w:hAnsi="Arial"/>
          <w:i/>
          <w:sz w:val="20"/>
          <w:u w:val="single"/>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u w:val="single"/>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u w:val="single"/>
        </w:rPr>
        <w:t>Asian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jc w:val="both"/>
        <w:rPr/>
      </w:pPr>
      <w:r>
        <w:rPr>
          <w:rFonts w:cs="Arial" w:ascii="Arial" w:hAnsi="Arial"/>
          <w:sz w:val="20"/>
        </w:rPr>
        <w:t>"</w:t>
      </w:r>
      <w:r>
        <w:rPr>
          <w:rFonts w:cs="Arial" w:ascii="Arial" w:hAnsi="Arial"/>
          <w:i/>
          <w:sz w:val="20"/>
          <w:u w:val="single"/>
        </w:rPr>
        <w:t>Automatic Exercise</w:t>
      </w:r>
      <w:r>
        <w:rPr>
          <w:rFonts w:cs="Arial" w:ascii="Arial" w:hAnsi="Arial"/>
          <w:sz w:val="20"/>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commercial banks are open for business in New York, New York or Houston, Texas.</w:t>
      </w:r>
    </w:p>
    <w:p>
      <w:pPr>
        <w:pStyle w:val="Normal"/>
        <w:jc w:val="both"/>
        <w:rPr/>
      </w:pPr>
      <w:r>
        <w:rPr>
          <w:rFonts w:cs="Arial" w:ascii="Arial" w:hAnsi="Arial"/>
          <w:sz w:val="20"/>
        </w:rPr>
        <w:t>"</w:t>
      </w:r>
      <w:r>
        <w:rPr>
          <w:rFonts w:cs="Arial" w:ascii="Arial" w:hAnsi="Arial"/>
          <w:i/>
          <w:sz w:val="20"/>
          <w:u w:val="single"/>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u w:val="single"/>
        </w:rPr>
        <w:t>Cap Amount</w:t>
      </w:r>
      <w:r>
        <w:rPr>
          <w:rFonts w:cs="Arial" w:ascii="Arial" w:hAnsi="Arial"/>
          <w:sz w:val="20"/>
        </w:rPr>
        <w:t>" means an amount equal to the product of (a) the Notional Quantity per Determination Period multiplied by (b) the Cap Price, or as otherwise provided in the Transaction.</w:t>
      </w:r>
    </w:p>
    <w:p>
      <w:pPr>
        <w:pStyle w:val="Normal"/>
        <w:jc w:val="both"/>
        <w:rPr/>
      </w:pPr>
      <w:r>
        <w:rPr>
          <w:rFonts w:cs="Arial" w:ascii="Arial" w:hAnsi="Arial"/>
          <w:sz w:val="20"/>
        </w:rPr>
        <w:t>"</w:t>
      </w:r>
      <w:r>
        <w:rPr>
          <w:rFonts w:cs="Arial" w:ascii="Arial" w:hAnsi="Arial"/>
          <w:i/>
          <w:sz w:val="20"/>
          <w:u w:val="single"/>
        </w:rPr>
        <w:t>Cash Settlement Amount</w:t>
      </w:r>
      <w:r>
        <w:rPr>
          <w:rFonts w:cs="Arial" w:ascii="Arial" w:hAnsi="Arial"/>
          <w:sz w:val="20"/>
        </w:rPr>
        <w:t>" means, in respect of an Option, an amount (if any) that is payable by Seller on the applicable Payment Date(s) and is determined as provided in the Transaction governing such Option.</w:t>
      </w:r>
    </w:p>
    <w:p>
      <w:pPr>
        <w:pStyle w:val="Normal"/>
        <w:jc w:val="both"/>
        <w:rPr/>
      </w:pPr>
      <w:r>
        <w:rPr>
          <w:rFonts w:cs="Arial" w:ascii="Arial" w:hAnsi="Arial"/>
          <w:sz w:val="20"/>
        </w:rPr>
        <w:t>"</w:t>
      </w:r>
      <w:r>
        <w:rPr>
          <w:rFonts w:cs="Arial" w:ascii="Arial" w:hAnsi="Arial"/>
          <w:i/>
          <w:sz w:val="20"/>
          <w:u w:val="single"/>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w:t>
      </w:r>
      <w:r>
        <w:rPr>
          <w:rFonts w:cs="Arial" w:ascii="Arial" w:hAnsi="Arial"/>
          <w:i/>
          <w:sz w:val="20"/>
          <w:u w:val="single"/>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u w:val="single"/>
        </w:rPr>
        <w:t>European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if any.</w:t>
      </w:r>
    </w:p>
    <w:p>
      <w:pPr>
        <w:pStyle w:val="Normal"/>
        <w:jc w:val="both"/>
        <w:rPr/>
      </w:pPr>
      <w:r>
        <w:rPr>
          <w:rFonts w:cs="Arial" w:ascii="Arial" w:hAnsi="Arial"/>
          <w:sz w:val="20"/>
        </w:rPr>
        <w:t>"</w:t>
      </w:r>
      <w:r>
        <w:rPr>
          <w:rFonts w:cs="Arial" w:ascii="Arial" w:hAnsi="Arial"/>
          <w:i/>
          <w:sz w:val="20"/>
          <w:u w:val="single"/>
        </w:rPr>
        <w:t>Fixed Amount</w:t>
      </w:r>
      <w:r>
        <w:rPr>
          <w:rFonts w:cs="Arial" w:ascii="Arial" w:hAnsi="Arial"/>
          <w:sz w:val="20"/>
        </w:rPr>
        <w:t>" means an amount equal to the product of (a) the Notional Quantity per Determination Period multiplied by (b) the Fixed Price, or as otherwise provided in the Transaction.</w:t>
      </w:r>
    </w:p>
    <w:p>
      <w:pPr>
        <w:pStyle w:val="Normal"/>
        <w:jc w:val="both"/>
        <w:rPr/>
      </w:pPr>
      <w:r>
        <w:rPr>
          <w:rFonts w:cs="Arial" w:ascii="Arial" w:hAnsi="Arial"/>
          <w:sz w:val="20"/>
        </w:rPr>
        <w:t>"</w:t>
      </w:r>
      <w:r>
        <w:rPr>
          <w:rFonts w:cs="Arial" w:ascii="Arial" w:hAnsi="Arial"/>
          <w:i/>
          <w:sz w:val="20"/>
          <w:u w:val="single"/>
        </w:rPr>
        <w:t>Fixed Price Payor</w:t>
      </w:r>
      <w:r>
        <w:rPr>
          <w:rFonts w:cs="Arial" w:ascii="Arial" w:hAnsi="Arial"/>
          <w:sz w:val="20"/>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pPr>
      <w:r>
        <w:rPr>
          <w:rFonts w:cs="Arial" w:ascii="Arial" w:hAnsi="Arial"/>
          <w:sz w:val="20"/>
        </w:rPr>
        <w:t>"</w:t>
      </w:r>
      <w:r>
        <w:rPr>
          <w:rFonts w:cs="Arial" w:ascii="Arial" w:hAnsi="Arial"/>
          <w:i/>
          <w:sz w:val="20"/>
          <w:u w:val="single"/>
        </w:rPr>
        <w:t>Floating Amount</w:t>
      </w:r>
      <w:r>
        <w:rPr>
          <w:rFonts w:cs="Arial" w:ascii="Arial" w:hAnsi="Arial"/>
          <w:sz w:val="20"/>
        </w:rPr>
        <w:t>" means an amount equal to the product of (a) the Notional Quantity per Determination Period multiplied by (b) the Floating Price, or as otherwise provided in the Transaction.</w:t>
      </w:r>
    </w:p>
    <w:p>
      <w:pPr>
        <w:pStyle w:val="Normal"/>
        <w:jc w:val="both"/>
        <w:rPr/>
      </w:pPr>
      <w:r>
        <w:rPr>
          <w:rFonts w:cs="Arial" w:ascii="Arial" w:hAnsi="Arial"/>
          <w:sz w:val="20"/>
        </w:rPr>
        <w:t>"</w:t>
      </w:r>
      <w:r>
        <w:rPr>
          <w:rFonts w:cs="Arial" w:ascii="Arial" w:hAnsi="Arial"/>
          <w:i/>
          <w:sz w:val="20"/>
          <w:u w:val="single"/>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u w:val="single"/>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u w:val="single"/>
        </w:rPr>
        <w:t>Indemnifiable Tax</w:t>
      </w:r>
      <w:r>
        <w:rPr>
          <w:rFonts w:cs="Arial" w:ascii="Arial" w:hAnsi="Arial"/>
          <w:sz w:val="20"/>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(a) with respect to a non-defaulting party,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u w:val="single"/>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sz w:val="20"/>
        </w:rPr>
        <w:t>"</w:t>
      </w:r>
      <w:r>
        <w:rPr>
          <w:rFonts w:cs="Arial" w:ascii="Arial" w:hAnsi="Arial"/>
          <w:i/>
          <w:sz w:val="20"/>
          <w:u w:val="single"/>
        </w:rPr>
        <w:t>Notice of Exercise</w:t>
      </w:r>
      <w:r>
        <w:rPr>
          <w:rFonts w:cs="Arial" w:ascii="Arial" w:hAnsi="Arial"/>
          <w:i/>
          <w:sz w:val="20"/>
        </w:rPr>
        <w:t>"</w:t>
      </w:r>
      <w:r>
        <w:rPr>
          <w:rFonts w:cs="Arial" w:ascii="Arial" w:hAnsi="Arial"/>
          <w:sz w:val="20"/>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Transaction that is a Call, Cap, Floor, Put, Swaption or is identified in the relevant Transaction as an Option.</w:t>
      </w:r>
    </w:p>
    <w:p>
      <w:pPr>
        <w:pStyle w:val="Normal"/>
        <w:jc w:val="both"/>
        <w:rPr/>
      </w:pPr>
      <w:r>
        <w:rPr>
          <w:rFonts w:cs="Arial" w:ascii="Arial" w:hAnsi="Arial"/>
          <w:sz w:val="20"/>
        </w:rPr>
        <w:t>"</w:t>
      </w:r>
      <w:r>
        <w:rPr>
          <w:rFonts w:cs="Arial" w:ascii="Arial" w:hAnsi="Arial"/>
          <w:i/>
          <w:sz w:val="20"/>
          <w:u w:val="single"/>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u w:val="single"/>
        </w:rPr>
        <w:t>Swaption</w:t>
      </w:r>
      <w:r>
        <w:rPr>
          <w:rFonts w:cs="Arial" w:ascii="Arial" w:hAnsi="Arial"/>
          <w:i/>
          <w:sz w:val="20"/>
        </w:rPr>
        <w:t>"</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u w:val="single"/>
        </w:rPr>
        <w:t>Tax</w:t>
      </w:r>
      <w:r>
        <w:rPr>
          <w:rFonts w:cs="Arial" w:ascii="Arial" w:hAnsi="Arial"/>
          <w:sz w:val="20"/>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pPr>
      <w:r>
        <w:rPr>
          <w:rFonts w:cs="Arial" w:ascii="Arial" w:hAnsi="Arial"/>
          <w:sz w:val="20"/>
        </w:rPr>
        <w:t>"</w:t>
      </w:r>
      <w:r>
        <w:rPr>
          <w:rFonts w:cs="Arial" w:ascii="Arial" w:hAnsi="Arial"/>
          <w:i/>
          <w:sz w:val="20"/>
          <w:u w:val="single"/>
        </w:rPr>
        <w:t>Trading Day</w:t>
      </w:r>
      <w:r>
        <w:rPr>
          <w:rFonts w:cs="Arial" w:ascii="Arial" w:hAnsi="Arial"/>
          <w:i/>
          <w:sz w:val="20"/>
        </w:rPr>
        <w:t>"</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this GTC taken together with the terms set forth on the Website submitted by Counterparty and accepted by Enron.</w:t>
      </w:r>
    </w:p>
    <w:p>
      <w:pPr>
        <w:pStyle w:val="Normal"/>
        <w:jc w:val="both"/>
        <w:rPr/>
      </w:pPr>
      <w:r>
        <w:rPr>
          <w:rFonts w:cs="Arial" w:ascii="Arial" w:hAnsi="Arial"/>
          <w:sz w:val="20"/>
        </w:rPr>
        <w:t>"</w:t>
      </w:r>
      <w:r>
        <w:rPr>
          <w:rFonts w:cs="Arial" w:ascii="Arial" w:hAnsi="Arial"/>
          <w:i/>
          <w:sz w:val="20"/>
          <w:u w:val="single"/>
        </w:rPr>
        <w:t>Underlying Transaction</w:t>
      </w:r>
      <w:r>
        <w:rPr>
          <w:rFonts w:cs="Arial" w:ascii="Arial" w:hAnsi="Arial"/>
          <w:sz w:val="20"/>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pPr>
      <w:r>
        <w:rPr>
          <w:rFonts w:cs="Arial" w:ascii="Arial" w:hAnsi="Arial"/>
          <w:sz w:val="20"/>
        </w:rPr>
        <w:t>"</w:t>
      </w:r>
      <w:r>
        <w:rPr>
          <w:rFonts w:cs="Arial" w:ascii="Arial" w:hAnsi="Arial"/>
          <w:i/>
          <w:sz w:val="20"/>
          <w:u w:val="single"/>
        </w:rPr>
        <w:t>Website</w:t>
      </w:r>
      <w:r>
        <w:rPr>
          <w:rFonts w:cs="Arial" w:ascii="Arial" w:hAnsi="Arial"/>
          <w:sz w:val="20"/>
        </w:rPr>
        <w:t>" means the website referencing this GTC.</w:t>
      </w:r>
    </w:p>
    <w:p>
      <w:pPr>
        <w:pStyle w:val="Normal"/>
        <w:spacing w:before="100" w:after="100"/>
        <w:jc w:val="both"/>
        <w:rPr/>
      </w:pPr>
      <w:r>
        <w:rPr>
          <w:rFonts w:cs="Arial" w:ascii="Arial" w:hAnsi="Arial"/>
          <w:sz w:val="20"/>
        </w:rPr>
        <w:t>"</w:t>
      </w:r>
      <w:r>
        <w:rPr>
          <w:rFonts w:cs="Arial" w:ascii="Arial" w:hAnsi="Arial"/>
          <w:i/>
          <w:sz w:val="20"/>
          <w:u w:val="single"/>
        </w:rPr>
        <w:t>Written Confirmation</w:t>
      </w:r>
      <w:r>
        <w:rPr>
          <w:rFonts w:cs="Arial" w:ascii="Arial" w:hAnsi="Arial"/>
          <w:sz w:val="20"/>
        </w:rPr>
        <w:t>" means, if specified to be applicable in the Transaction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1999-10-28T06:50:00Z</dcterms:created>
  <dc:creator>NEdmonds</dc:creator>
  <dc:description/>
  <dc:language>en-CA</dc:language>
  <cp:lastModifiedBy>Edmund Cooper</cp:lastModifiedBy>
  <dcterms:modified xsi:type="dcterms:W3CDTF">1999-10-28T13:30:00Z</dcterms:modified>
  <cp:revision>3</cp:revision>
  <dc:subject/>
  <dc:title>ENA Financial GTC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