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ENA Upstream Company, L.L.C., a Delaware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ENA UPSTREAM COMPANY, L.L.C.</w:t>
      </w:r>
    </w:p>
    <w:p>
      <w:pPr>
        <w:pStyle w:val="Normal"/>
        <w:tabs>
          <w:tab w:val="clear" w:pos="720"/>
          <w:tab w:val="left" w:pos="36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By Enron North America Corp.</w:t>
      </w:r>
    </w:p>
    <w:p>
      <w:pPr>
        <w:pStyle w:val="Normal"/>
        <w:tabs>
          <w:tab w:val="clear" w:pos="720"/>
          <w:tab w:val="left" w:pos="36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Its Managing Member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/mnt/main-storage/datasets/enron-docs/doc/ENA_ENAUpstreamMaster-81fbf109ff9797de29f93cc5d13f66462a9c47eb2ceedc34ec9a563fa768244c.doc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jc w:val="both"/>
        <w:rPr>
          <w:rFonts w:ascii="Arial Narrow" w:hAnsi="Arial Narrow" w:cs="Arial Narrow"/>
          <w:sz w:val="18"/>
        </w:rPr>
      </w:pPr>
      <w:r>
        <w:rPr>
          <w:rFonts w:cs="Arial Narrow" w:ascii="Arial Narrow" w:hAnsi="Arial Narrow"/>
          <w:sz w:val="18"/>
        </w:rPr>
        <w:t>Termination Notice Facsimile No.  (713) 646-4818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111000012 Bank of America, N.A.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3751777485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2001-07-26T18:01:00Z</dcterms:created>
  <dc:creator>dperlin</dc:creator>
  <dc:description/>
  <dc:language>en-CA</dc:language>
  <cp:lastModifiedBy>jthorne</cp:lastModifiedBy>
  <cp:lastPrinted>2001-05-07T16:29:00Z</cp:lastPrinted>
  <dcterms:modified xsi:type="dcterms:W3CDTF">2001-07-26T18:01:00Z</dcterms:modified>
  <cp:revision>2</cp:revision>
  <dc:subject/>
  <dc:title>ENFOLIO® MASTER FIRM PURCHASE/SALE AGREEMENT</dc:title>
</cp:coreProperties>
</file>