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2"/>
        </w:numPr>
        <w:rPr/>
      </w:pPr>
      <w:r>
        <w:rPr/>
        <w:t>Identify by contract identification number all contracts for the sale of gas that is physically delivered to the California border or into California that were in effect on May 10, 2001.  For each identified contract, provide the following information:</w:t>
      </w:r>
    </w:p>
    <w:p>
      <w:pPr>
        <w:pStyle w:val="Normal"/>
        <w:rPr/>
      </w:pPr>
      <w:r>
        <w:rPr/>
      </w:r>
    </w:p>
    <w:p>
      <w:pPr>
        <w:pStyle w:val="Normal"/>
        <w:numPr>
          <w:ilvl w:val="1"/>
          <w:numId w:val="2"/>
        </w:numPr>
        <w:rPr/>
      </w:pPr>
      <w:r>
        <w:rPr/>
        <w:t>execution and expiration date;</w:t>
      </w:r>
    </w:p>
    <w:p>
      <w:pPr>
        <w:pStyle w:val="Normal"/>
        <w:numPr>
          <w:ilvl w:val="1"/>
          <w:numId w:val="2"/>
        </w:numPr>
        <w:rPr/>
      </w:pPr>
      <w:r>
        <w:rPr/>
        <w:t>the receipt and delivery points;</w:t>
      </w:r>
    </w:p>
    <w:p>
      <w:pPr>
        <w:pStyle w:val="Normal"/>
        <w:numPr>
          <w:ilvl w:val="1"/>
          <w:numId w:val="2"/>
        </w:numPr>
        <w:rPr/>
      </w:pPr>
      <w:r>
        <w:rPr/>
        <w:t>the identity of the buyer;</w:t>
      </w:r>
    </w:p>
    <w:p>
      <w:pPr>
        <w:pStyle w:val="Normal"/>
        <w:numPr>
          <w:ilvl w:val="1"/>
          <w:numId w:val="2"/>
        </w:numPr>
        <w:rPr/>
      </w:pPr>
      <w:r>
        <w:rPr/>
        <w:t>whether the buyer is an energy marketer, local distribution company, or end user;</w:t>
      </w:r>
    </w:p>
    <w:p>
      <w:pPr>
        <w:pStyle w:val="Normal"/>
        <w:numPr>
          <w:ilvl w:val="1"/>
          <w:numId w:val="2"/>
        </w:numPr>
        <w:rPr/>
      </w:pPr>
      <w:r>
        <w:rPr/>
        <w:t>the quantities (on an MMBTU basis) sold each day the contract was in effect through May 10, 2001;</w:t>
      </w:r>
    </w:p>
    <w:p>
      <w:pPr>
        <w:pStyle w:val="Normal"/>
        <w:numPr>
          <w:ilvl w:val="1"/>
          <w:numId w:val="2"/>
        </w:numPr>
        <w:rPr/>
      </w:pPr>
      <w:r>
        <w:rPr/>
        <w:t>the price for which the gas was sold each day the contract was in effect; and</w:t>
      </w:r>
    </w:p>
    <w:p>
      <w:pPr>
        <w:pStyle w:val="Normal"/>
        <w:jc w:val="both"/>
        <w:rPr/>
      </w:pPr>
      <w:r>
        <w:rPr/>
      </w:r>
    </w:p>
    <w:p>
      <w:pPr>
        <w:pStyle w:val="Normal"/>
        <w:jc w:val="both"/>
        <w:rPr/>
      </w:pPr>
      <w:r>
        <w:rPr/>
      </w:r>
    </w:p>
    <w:p>
      <w:pPr>
        <w:pStyle w:val="Normal"/>
        <w:jc w:val="both"/>
        <w:rPr>
          <w:b/>
          <w:bCs/>
          <w:u w:val="single"/>
        </w:rPr>
      </w:pPr>
      <w:r>
        <w:rPr>
          <w:b/>
          <w:bCs/>
          <w:u w:val="single"/>
        </w:rPr>
        <w:t>Response:</w:t>
      </w:r>
    </w:p>
    <w:p>
      <w:pPr>
        <w:pStyle w:val="Normal"/>
        <w:rPr>
          <w:b/>
          <w:bCs/>
          <w:u w:val="single"/>
        </w:rPr>
      </w:pPr>
      <w:r>
        <w:rPr>
          <w:b/>
          <w:bCs/>
          <w:u w:val="single"/>
        </w:rPr>
      </w:r>
    </w:p>
    <w:p>
      <w:pPr>
        <w:pStyle w:val="Normal"/>
        <w:rPr/>
      </w:pPr>
      <w:r>
        <w:rPr/>
        <w:t>The requested information is provided in the disks submitted herewith.  The information was extracted from ENA’s “settlements” system and May information will not be available until after the end of the month.  Therefore, the information provided reflects transactions through April 30, 2001 only.  ENA will provide May information as soon as it becomes available.</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numPr>
          <w:ilvl w:val="1"/>
          <w:numId w:val="2"/>
        </w:numPr>
        <w:rPr/>
      </w:pPr>
      <w:r>
        <w:rPr/>
        <w:t>each geographic origin of the gas and the identity of each producer who sold the gas.</w:t>
      </w:r>
    </w:p>
    <w:p>
      <w:pPr>
        <w:pStyle w:val="Normal"/>
        <w:jc w:val="both"/>
        <w:rPr/>
      </w:pPr>
      <w:r>
        <w:rPr/>
      </w:r>
    </w:p>
    <w:p>
      <w:pPr>
        <w:pStyle w:val="Normal"/>
        <w:jc w:val="both"/>
        <w:rPr/>
      </w:pPr>
      <w:r>
        <w:rPr/>
      </w:r>
    </w:p>
    <w:p>
      <w:pPr>
        <w:pStyle w:val="Normal"/>
        <w:jc w:val="both"/>
        <w:rPr>
          <w:b/>
          <w:bCs/>
          <w:u w:val="single"/>
        </w:rPr>
      </w:pPr>
      <w:r>
        <w:rPr>
          <w:b/>
          <w:bCs/>
          <w:u w:val="single"/>
        </w:rPr>
        <w:t>Response:</w:t>
      </w:r>
    </w:p>
    <w:p>
      <w:pPr>
        <w:pStyle w:val="Normal"/>
        <w:jc w:val="both"/>
        <w:rPr>
          <w:b/>
          <w:bCs/>
          <w:u w:val="single"/>
        </w:rPr>
      </w:pPr>
      <w:r>
        <w:rPr>
          <w:b/>
          <w:bCs/>
          <w:u w:val="single"/>
        </w:rPr>
      </w:r>
    </w:p>
    <w:p>
      <w:pPr>
        <w:pStyle w:val="Normal"/>
        <w:jc w:val="both"/>
        <w:rPr/>
      </w:pPr>
      <w:r>
        <w:rPr/>
        <w:t>Please see the response to Request Number 2.</w:t>
      </w:r>
    </w:p>
    <w:p>
      <w:pPr>
        <w:pStyle w:val="Normal"/>
        <w:jc w:val="both"/>
        <w:rPr/>
      </w:pPr>
      <w:r>
        <w:rPr/>
      </w:r>
    </w:p>
    <w:p>
      <w:pPr>
        <w:pStyle w:val="Normal"/>
        <w:jc w:val="both"/>
        <w:rPr/>
      </w:pPr>
      <w:r>
        <w:rPr/>
      </w:r>
    </w:p>
    <w:p>
      <w:pPr>
        <w:pStyle w:val="Normal"/>
        <w:jc w:val="both"/>
        <w:rPr/>
      </w:pPr>
      <w:r>
        <w:rPr/>
      </w:r>
    </w:p>
    <w:p>
      <w:pPr>
        <w:pStyle w:val="Normal"/>
        <w:jc w:val="both"/>
        <w:rPr/>
      </w:pPr>
      <w:r>
        <w:rPr/>
        <w:t>This response was prepared under my supervision and I certify that the response is true and accurate to the best of my knowledge, information, and belief formed after a reasonable inquiry.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start="4320" w:end="0"/>
        <w:jc w:val="both"/>
        <w:rPr/>
      </w:pPr>
      <w:r>
        <w:rPr/>
        <w:t>_________________________________________</w:t>
      </w:r>
    </w:p>
    <w:p>
      <w:pPr>
        <w:pStyle w:val="Normal"/>
        <w:ind w:start="4320" w:end="0"/>
        <w:jc w:val="both"/>
        <w:rPr/>
      </w:pPr>
      <w:r>
        <w:rPr/>
        <w:t>Rebecca W. Cantrell</w:t>
      </w:r>
    </w:p>
    <w:p>
      <w:pPr>
        <w:pStyle w:val="Normal"/>
        <w:ind w:start="4320" w:end="0"/>
        <w:jc w:val="both"/>
        <w:rPr/>
      </w:pPr>
      <w:r>
        <w:rPr/>
        <w:t xml:space="preserve">Sr. Director, Federal Regulatory Affairs </w:t>
      </w:r>
    </w:p>
    <w:p>
      <w:pPr>
        <w:pStyle w:val="Normal"/>
        <w:ind w:start="4320" w:end="0"/>
        <w:jc w:val="both"/>
        <w:rPr/>
      </w:pPr>
      <w:r>
        <w:rPr/>
        <w:t>Enron Corp.</w:t>
      </w:r>
      <w:r>
        <w:br w:type="page"/>
      </w:r>
    </w:p>
    <w:p>
      <w:pPr>
        <w:pStyle w:val="Normal"/>
        <w:numPr>
          <w:ilvl w:val="0"/>
          <w:numId w:val="2"/>
        </w:numPr>
        <w:rPr/>
      </w:pPr>
      <w:r>
        <w:rPr/>
        <w:t>For each sales contract identified in Request No. 1 above, identify separately the transportation component and the gas commodity component of the price.  If these components are not set forth in the contract, provide a valuation with an explanation of how the valuation was determined.</w:t>
      </w:r>
    </w:p>
    <w:p>
      <w:pPr>
        <w:pStyle w:val="Normal"/>
        <w:jc w:val="both"/>
        <w:rPr/>
      </w:pPr>
      <w:r>
        <w:rPr/>
      </w:r>
    </w:p>
    <w:p>
      <w:pPr>
        <w:pStyle w:val="Normal"/>
        <w:jc w:val="both"/>
        <w:rPr>
          <w:b/>
          <w:bCs/>
          <w:u w:val="single"/>
        </w:rPr>
      </w:pPr>
      <w:r>
        <w:rPr>
          <w:b/>
          <w:bCs/>
          <w:u w:val="single"/>
        </w:rPr>
        <w:t>Response:</w:t>
      </w:r>
    </w:p>
    <w:p>
      <w:pPr>
        <w:pStyle w:val="Normal"/>
        <w:jc w:val="both"/>
        <w:rPr>
          <w:b/>
          <w:bCs/>
          <w:u w:val="single"/>
        </w:rPr>
      </w:pPr>
      <w:r>
        <w:rPr>
          <w:b/>
          <w:bCs/>
          <w:u w:val="single"/>
        </w:rPr>
      </w:r>
    </w:p>
    <w:p>
      <w:pPr>
        <w:pStyle w:val="BodyText"/>
        <w:jc w:val="start"/>
        <w:rPr>
          <w:sz w:val="22"/>
        </w:rPr>
      </w:pPr>
      <w:r>
        <w:rPr>
          <w:sz w:val="22"/>
        </w:rPr>
        <w:t>ENA transacts a large amount of business at the California border and at delivery points that serve the California market.  We trade packages of gas on a “day trade” basis (typically deals which last between a day and something less than a full month) and also sell gas into the term market (one month or longer).  We also purchase some quantities of gas in the producing basins serving California and use our own interstate pipeline transportation agreements to move that gas to the California delivery points.  The transportation information for the relevant time period is provided in the the response to Request Number 3.  Our gas sales contracts do not, however, contain separate transportation and gas commodity components as the sales are made on a “rebundled” basis at the delivery point, wherever that may contractually be established.  The transaction will be on a “firm” or “interruptible” basis as agreed to by the parties as well.</w:t>
      </w:r>
    </w:p>
    <w:p>
      <w:pPr>
        <w:pStyle w:val="BodyText"/>
        <w:jc w:val="start"/>
        <w:rPr>
          <w:sz w:val="22"/>
        </w:rPr>
      </w:pPr>
      <w:r>
        <w:rPr>
          <w:sz w:val="22"/>
        </w:rPr>
      </w:r>
    </w:p>
    <w:p>
      <w:pPr>
        <w:pStyle w:val="BodyText"/>
        <w:jc w:val="start"/>
        <w:rPr>
          <w:sz w:val="22"/>
        </w:rPr>
      </w:pPr>
      <w:r>
        <w:rPr>
          <w:sz w:val="22"/>
        </w:rPr>
        <w:t xml:space="preserve">Because of the large volume of gas which ENA trades, and the way we price the deals we make, we do not track molecules of gas that we purchase through transportation agreements directly to a sale.  We manage our supply and sales in “pools” and attempt to keep our purchases and sales in balance on an aggregated basis.  </w:t>
      </w:r>
    </w:p>
    <w:p>
      <w:pPr>
        <w:pStyle w:val="BodyText"/>
        <w:jc w:val="start"/>
        <w:rPr>
          <w:sz w:val="22"/>
        </w:rPr>
      </w:pPr>
      <w:r>
        <w:rPr>
          <w:sz w:val="22"/>
        </w:rPr>
      </w:r>
    </w:p>
    <w:p>
      <w:pPr>
        <w:pStyle w:val="BodyText"/>
        <w:jc w:val="start"/>
        <w:rPr>
          <w:sz w:val="22"/>
        </w:rPr>
      </w:pPr>
      <w:r>
        <w:rPr>
          <w:sz w:val="22"/>
        </w:rPr>
        <w:t xml:space="preserve">We price our deals based on a price curve which our analysts derive by using prices for existing deals in the relevant time frames, as well as pricing data available from publicly traded venues, such as NYMEX.  Simply put, we try to buy gas below our price curve and sell it above the price curve.  The curve is completely proprietary, and is constantly corrected, as new deals are done and information becomes available which moves the forward price up or down.  The purchases of gas and the sales of gas are then handled on an aggregated basis, and individual transactions are not tracked from beginning to end.  By pricing deals off of the curve, there is no need to earmark specific supply purchases and transportation arrangements to specific buyers.   </w:t>
      </w:r>
    </w:p>
    <w:p>
      <w:pPr>
        <w:pStyle w:val="BodyText"/>
        <w:jc w:val="start"/>
        <w:rPr>
          <w:sz w:val="22"/>
        </w:rPr>
      </w:pPr>
      <w:r>
        <w:rPr>
          <w:sz w:val="22"/>
        </w:rPr>
      </w:r>
    </w:p>
    <w:p>
      <w:pPr>
        <w:pStyle w:val="BodyText"/>
        <w:jc w:val="start"/>
        <w:rPr>
          <w:sz w:val="22"/>
        </w:rPr>
      </w:pPr>
      <w:r>
        <w:rPr>
          <w:sz w:val="22"/>
        </w:rPr>
        <w:t xml:space="preserve">Similarly, we do not place individual financial hedges on each purchase or sale transaction.  Our “book” shows our position for each component of a bundled transaction: (supply deals, sales deals, basis trades) and we hedge these aggregated component positions to manage our overall portfolio, not at the level of individual deals.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keepNext w:val="true"/>
        <w:jc w:val="both"/>
        <w:rPr/>
      </w:pPr>
      <w:r>
        <w:rPr/>
        <w:t>This response was prepared under my supervision and I certify that the response is true and accurate to the best of my knowledge, information, and belief formed after a reasonable inquiry.</w:t>
      </w:r>
    </w:p>
    <w:p>
      <w:pPr>
        <w:pStyle w:val="Normal"/>
        <w:keepNext w:val="true"/>
        <w:jc w:val="both"/>
        <w:rPr/>
      </w:pPr>
      <w:r>
        <w:rPr/>
      </w:r>
    </w:p>
    <w:p>
      <w:pPr>
        <w:pStyle w:val="Normal"/>
        <w:keepNext w:val="true"/>
        <w:jc w:val="both"/>
        <w:rPr/>
      </w:pPr>
      <w:r>
        <w:rPr/>
      </w:r>
    </w:p>
    <w:p>
      <w:pPr>
        <w:pStyle w:val="Normal"/>
        <w:keepNext w:val="true"/>
        <w:jc w:val="both"/>
        <w:rPr/>
      </w:pPr>
      <w:r>
        <w:rPr/>
      </w:r>
    </w:p>
    <w:p>
      <w:pPr>
        <w:pStyle w:val="Normal"/>
        <w:keepNext w:val="true"/>
        <w:ind w:start="4320" w:end="0"/>
        <w:jc w:val="both"/>
        <w:rPr/>
      </w:pPr>
      <w:r>
        <w:rPr/>
        <w:t>_________________________________________</w:t>
      </w:r>
    </w:p>
    <w:p>
      <w:pPr>
        <w:pStyle w:val="Normal"/>
        <w:keepNext w:val="true"/>
        <w:ind w:start="4320" w:end="0"/>
        <w:jc w:val="both"/>
        <w:rPr/>
      </w:pPr>
      <w:r>
        <w:rPr/>
        <w:t>Rebecca W. Cantrell</w:t>
      </w:r>
    </w:p>
    <w:p>
      <w:pPr>
        <w:pStyle w:val="Normal"/>
        <w:keepNext w:val="true"/>
        <w:ind w:start="4320" w:end="0"/>
        <w:jc w:val="both"/>
        <w:rPr/>
      </w:pPr>
      <w:r>
        <w:rPr/>
        <w:t xml:space="preserve">Sr. Director, Federal Regulatory Affairs </w:t>
      </w:r>
    </w:p>
    <w:p>
      <w:pPr>
        <w:pStyle w:val="Normal"/>
        <w:ind w:start="4320" w:end="0"/>
        <w:jc w:val="both"/>
        <w:rPr/>
      </w:pPr>
      <w:r>
        <w:rPr/>
        <w:t>Enron Corp.</w:t>
      </w:r>
      <w:r>
        <w:br w:type="page"/>
      </w:r>
    </w:p>
    <w:p>
      <w:pPr>
        <w:pStyle w:val="Normal"/>
        <w:numPr>
          <w:ilvl w:val="0"/>
          <w:numId w:val="2"/>
        </w:numPr>
        <w:rPr/>
      </w:pPr>
      <w:r>
        <w:rPr/>
        <w:t>Identify by contract identification number all contracts for the transportation of gas to the California border or into California that were in effect on May 10, 2001.  For each identified contract provide the following information:</w:t>
      </w:r>
    </w:p>
    <w:p>
      <w:pPr>
        <w:pStyle w:val="Normal"/>
        <w:rPr/>
      </w:pPr>
      <w:r>
        <w:rPr/>
      </w:r>
    </w:p>
    <w:p>
      <w:pPr>
        <w:pStyle w:val="Normal"/>
        <w:numPr>
          <w:ilvl w:val="1"/>
          <w:numId w:val="2"/>
        </w:numPr>
        <w:rPr/>
      </w:pPr>
      <w:r>
        <w:rPr/>
        <w:t>the contract demand;</w:t>
      </w:r>
    </w:p>
    <w:p>
      <w:pPr>
        <w:pStyle w:val="Normal"/>
        <w:numPr>
          <w:ilvl w:val="1"/>
          <w:numId w:val="2"/>
        </w:numPr>
        <w:rPr/>
      </w:pPr>
      <w:r>
        <w:rPr/>
        <w:t>the daily nominated volume;</w:t>
      </w:r>
    </w:p>
    <w:p>
      <w:pPr>
        <w:pStyle w:val="Normal"/>
        <w:numPr>
          <w:ilvl w:val="1"/>
          <w:numId w:val="2"/>
        </w:numPr>
        <w:rPr/>
      </w:pPr>
      <w:r>
        <w:rPr/>
        <w:t>the daily scheduled volume;</w:t>
      </w:r>
    </w:p>
    <w:p>
      <w:pPr>
        <w:pStyle w:val="Normal"/>
        <w:numPr>
          <w:ilvl w:val="1"/>
          <w:numId w:val="2"/>
        </w:numPr>
        <w:rPr/>
      </w:pPr>
      <w:r>
        <w:rPr/>
        <w:t>the daily delivered volume;</w:t>
      </w:r>
    </w:p>
    <w:p>
      <w:pPr>
        <w:pStyle w:val="Normal"/>
        <w:numPr>
          <w:ilvl w:val="1"/>
          <w:numId w:val="2"/>
        </w:numPr>
        <w:rPr/>
      </w:pPr>
      <w:r>
        <w:rPr/>
        <w:t>whether the service is firm or interruptible;</w:t>
      </w:r>
    </w:p>
    <w:p>
      <w:pPr>
        <w:pStyle w:val="Normal"/>
        <w:numPr>
          <w:ilvl w:val="1"/>
          <w:numId w:val="2"/>
        </w:numPr>
        <w:rPr/>
      </w:pPr>
      <w:r>
        <w:rPr/>
        <w:t>the rate charged;</w:t>
      </w:r>
    </w:p>
    <w:p>
      <w:pPr>
        <w:pStyle w:val="Normal"/>
        <w:numPr>
          <w:ilvl w:val="1"/>
          <w:numId w:val="2"/>
        </w:numPr>
        <w:rPr/>
      </w:pPr>
      <w:r>
        <w:rPr/>
        <w:t>receipt and delivery points; and</w:t>
      </w:r>
    </w:p>
    <w:p>
      <w:pPr>
        <w:pStyle w:val="Normal"/>
        <w:numPr>
          <w:ilvl w:val="1"/>
          <w:numId w:val="2"/>
        </w:numPr>
        <w:rPr/>
      </w:pPr>
      <w:r>
        <w:rPr/>
        <w:t>the pipeline that provided the transportation.</w:t>
      </w:r>
    </w:p>
    <w:p>
      <w:pPr>
        <w:pStyle w:val="Normal"/>
        <w:rPr/>
      </w:pPr>
      <w:r>
        <w:rPr/>
      </w:r>
    </w:p>
    <w:p>
      <w:pPr>
        <w:pStyle w:val="Normal"/>
        <w:jc w:val="both"/>
        <w:rPr/>
      </w:pPr>
      <w:r>
        <w:rPr/>
      </w:r>
    </w:p>
    <w:p>
      <w:pPr>
        <w:pStyle w:val="Normal"/>
        <w:jc w:val="both"/>
        <w:rPr>
          <w:b/>
          <w:bCs/>
          <w:u w:val="single"/>
        </w:rPr>
      </w:pPr>
      <w:r>
        <w:rPr>
          <w:b/>
          <w:bCs/>
          <w:u w:val="single"/>
        </w:rPr>
        <w:t>Response:</w:t>
      </w:r>
    </w:p>
    <w:p>
      <w:pPr>
        <w:pStyle w:val="Normal"/>
        <w:jc w:val="both"/>
        <w:rPr>
          <w:b/>
          <w:bCs/>
          <w:u w:val="single"/>
        </w:rPr>
      </w:pPr>
      <w:r>
        <w:rPr>
          <w:b/>
          <w:bCs/>
          <w:u w:val="single"/>
        </w:rPr>
      </w:r>
    </w:p>
    <w:p>
      <w:pPr>
        <w:pStyle w:val="Normal"/>
        <w:rPr/>
      </w:pPr>
      <w:r>
        <w:rPr/>
        <w:t>The requested information is provided in the disks submitted herewith.  The information was extracted from ENA’s “settlements” system and May information will not be available until after the end of the month.  Therefore, the information provided reflects transactions through April 30, 2001 only.  ENA will provide May information as soon as it becomes available.</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This response was prepared under my supervision and I certify that the response is true and accurate to the best of my knowledge, information, and belief formed after a reasonable inquiry.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start="4320" w:end="0"/>
        <w:jc w:val="both"/>
        <w:rPr/>
      </w:pPr>
      <w:r>
        <w:rPr/>
        <w:t>_________________________________________</w:t>
      </w:r>
    </w:p>
    <w:p>
      <w:pPr>
        <w:pStyle w:val="Normal"/>
        <w:ind w:start="4320" w:end="0"/>
        <w:jc w:val="both"/>
        <w:rPr/>
      </w:pPr>
      <w:r>
        <w:rPr/>
        <w:t>Rebecca W. Cantrell</w:t>
      </w:r>
    </w:p>
    <w:p>
      <w:pPr>
        <w:pStyle w:val="Normal"/>
        <w:ind w:start="4320" w:end="0"/>
        <w:jc w:val="both"/>
        <w:rPr/>
      </w:pPr>
      <w:r>
        <w:rPr/>
        <w:t xml:space="preserve">Sr. Director, Federal Regulatory Affairs </w:t>
      </w:r>
    </w:p>
    <w:p>
      <w:pPr>
        <w:pStyle w:val="Normal"/>
        <w:ind w:start="4320" w:end="0"/>
        <w:jc w:val="both"/>
        <w:rPr/>
      </w:pPr>
      <w:r>
        <w:rPr/>
        <w:t>Enron Corp.</w:t>
      </w:r>
      <w:r>
        <w:br w:type="page"/>
      </w:r>
    </w:p>
    <w:p>
      <w:pPr>
        <w:pStyle w:val="Normal"/>
        <w:numPr>
          <w:ilvl w:val="0"/>
          <w:numId w:val="2"/>
        </w:numPr>
        <w:rPr/>
      </w:pPr>
      <w:r>
        <w:rPr/>
        <w:t>Provide the average price of gas that you sold, and the quantity of gas that you sold, that was physically delivered to the California border or into California for each day from April 1, 2001 through May 10, 2001, pursuant to (a) spot contracts; (b) contracts with a duration of 2 to 365 days; and (c) contracts with a duration of more than 365 days.  For each day and for each of the three averages identify separately the transportation component and the gas commodity component of the average price.  Explain how the average was determined and how the transportation/commodity components were determined.</w:t>
      </w:r>
    </w:p>
    <w:p>
      <w:pPr>
        <w:pStyle w:val="Normal"/>
        <w:rPr/>
      </w:pPr>
      <w:r>
        <w:rPr/>
      </w:r>
    </w:p>
    <w:p>
      <w:pPr>
        <w:pStyle w:val="Normal"/>
        <w:rPr/>
      </w:pPr>
      <w:r>
        <w:rPr/>
      </w:r>
    </w:p>
    <w:p>
      <w:pPr>
        <w:pStyle w:val="Normal"/>
        <w:jc w:val="both"/>
        <w:rPr>
          <w:b/>
          <w:bCs/>
          <w:u w:val="single"/>
        </w:rPr>
      </w:pPr>
      <w:r>
        <w:rPr>
          <w:b/>
          <w:bCs/>
          <w:u w:val="single"/>
        </w:rPr>
        <w:t>Response:</w:t>
      </w:r>
    </w:p>
    <w:p>
      <w:pPr>
        <w:pStyle w:val="Normal"/>
        <w:jc w:val="both"/>
        <w:rPr>
          <w:b/>
          <w:bCs/>
          <w:u w:val="single"/>
        </w:rPr>
      </w:pPr>
      <w:r>
        <w:rPr>
          <w:b/>
          <w:bCs/>
          <w:u w:val="single"/>
        </w:rPr>
      </w:r>
    </w:p>
    <w:p>
      <w:pPr>
        <w:pStyle w:val="Normal"/>
        <w:rPr/>
      </w:pPr>
      <w:r>
        <w:rPr/>
        <w:t>The requested information is provided in the disks submitted herewith.  The information was extracted from ENA’s “settlements” system and May information will not be available until after the end of the month.  Therefore, the information provided reflects transactions through April 30, 2001 only.  ENA will provide May information as soon as it becomes available.</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This response was prepared under my supervision and I certify that the response is true and accurate to the best of my knowledge, information, and belief formed after a reasonable inquiry.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start="4320" w:end="0"/>
        <w:jc w:val="both"/>
        <w:rPr/>
      </w:pPr>
      <w:r>
        <w:rPr/>
        <w:t>_________________________________________</w:t>
      </w:r>
    </w:p>
    <w:p>
      <w:pPr>
        <w:pStyle w:val="Normal"/>
        <w:ind w:start="4320" w:end="0"/>
        <w:jc w:val="both"/>
        <w:rPr/>
      </w:pPr>
      <w:r>
        <w:rPr/>
        <w:t>Rebecca W. Cantrell</w:t>
      </w:r>
    </w:p>
    <w:p>
      <w:pPr>
        <w:pStyle w:val="Normal"/>
        <w:ind w:start="4320" w:end="0"/>
        <w:jc w:val="both"/>
        <w:rPr/>
      </w:pPr>
      <w:r>
        <w:rPr/>
        <w:t xml:space="preserve">Sr. Director, Federal Regulatory Affairs </w:t>
      </w:r>
    </w:p>
    <w:p>
      <w:pPr>
        <w:pStyle w:val="Normal"/>
        <w:ind w:start="4320" w:end="0"/>
        <w:jc w:val="both"/>
        <w:rPr/>
      </w:pPr>
      <w:r>
        <w:rPr/>
        <w:t>Enron Corp.</w:t>
      </w:r>
    </w:p>
    <w:p>
      <w:pPr>
        <w:pStyle w:val="Normal"/>
        <w:rPr/>
      </w:pPr>
      <w:r>
        <w:rPr/>
      </w:r>
    </w:p>
    <w:sectPr>
      <w:headerReference w:type="default" r:id="rId2"/>
      <w:footerReference w:type="default" r:id="rId3"/>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28"/>
      </w:rPr>
    </w:pPr>
    <w:r>
      <w:rPr>
        <w:b/>
        <w:sz w:val="28"/>
      </w:rPr>
      <w:t>Proprietary Information</w:t>
    </w:r>
  </w:p>
  <w:p>
    <w:pPr>
      <w:pStyle w:val="Footer"/>
      <w:jc w:val="center"/>
      <w:rPr>
        <w:b/>
        <w:sz w:val="28"/>
      </w:rPr>
    </w:pPr>
    <w:r>
      <w:rPr>
        <w:b/>
        <w:sz w:val="28"/>
      </w:rPr>
      <w:t>Privileged and Confidential</w:t>
    </w:r>
  </w:p>
  <w:p>
    <w:pPr>
      <w:pStyle w:val="Footer"/>
      <w:jc w:val="center"/>
      <w:rPr>
        <w:b/>
        <w:sz w:val="28"/>
      </w:rPr>
    </w:pPr>
    <w:r>
      <w:rPr>
        <w:b/>
        <w:sz w:val="28"/>
      </w:rPr>
      <w:t>DO NOT DISCLOSE</w:t>
    </w:r>
  </w:p>
  <w:p>
    <w:pPr>
      <w:pStyle w:val="Footer"/>
      <w:rPr>
        <w:b/>
        <w:sz w:val="28"/>
      </w:rPr>
    </w:pPr>
    <w:r>
      <w:rPr>
        <w:b/>
        <w:sz w:val="2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keepNext w:val="false"/>
      <w:ind w:hanging="0" w:start="0"/>
      <w:rPr>
        <w:u w:val="none"/>
      </w:rPr>
    </w:pPr>
    <w:r>
      <w:rPr>
        <w:u w:val="none"/>
      </w:rPr>
      <w:t>Response of Enron North America Corp.</w:t>
    </w:r>
  </w:p>
  <w:p>
    <w:pPr>
      <w:pStyle w:val="Heading1"/>
      <w:keepNext w:val="false"/>
      <w:ind w:hanging="0" w:start="0"/>
      <w:rPr>
        <w:u w:val="none"/>
      </w:rPr>
    </w:pPr>
    <w:r>
      <w:rPr>
        <w:u w:val="none"/>
      </w:rPr>
      <w:t xml:space="preserve"> </w:t>
    </w:r>
    <w:r>
      <w:rPr>
        <w:u w:val="none"/>
      </w:rPr>
      <w:t xml:space="preserve">to the May 15, 2001 Data Request of </w:t>
    </w:r>
  </w:p>
  <w:p>
    <w:pPr>
      <w:pStyle w:val="Heading1"/>
      <w:keepNext w:val="false"/>
      <w:tabs>
        <w:tab w:val="clear" w:pos="720"/>
        <w:tab w:val="left" w:pos="8460" w:leader="none"/>
      </w:tabs>
      <w:ind w:hanging="0" w:start="0"/>
      <w:rPr>
        <w:u w:val="none"/>
      </w:rPr>
    </w:pPr>
    <w:r>
      <w:rPr>
        <w:u w:val="none"/>
      </w:rPr>
      <w:t>Federal Energy Regulatory Commission</w:t>
      <w:tab/>
      <w:t>May 25, 2001</w:t>
    </w:r>
  </w:p>
  <w:p>
    <w:pPr>
      <w:pStyle w:val="Header"/>
      <w:rPr>
        <w:u w:val="none"/>
      </w:rPr>
    </w:pPr>
    <w:r>
      <w:rPr>
        <w:u w:val="none"/>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432"/>
      </w:pPr>
      <w:rPr/>
    </w:lvl>
    <w:lvl w:ilvl="1">
      <w:start w:val="1"/>
      <w:numFmt w:val="upperLetter"/>
      <w:lvlText w:val="(%2)"/>
      <w:lvlJc w:val="start"/>
      <w:pPr>
        <w:tabs>
          <w:tab w:val="num" w:pos="864"/>
        </w:tabs>
        <w:ind w:start="864" w:hanging="432"/>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2001-05-25T12:58:00Z</dcterms:created>
  <dc:creator>bcantre</dc:creator>
  <dc:description/>
  <dc:language>en-CA</dc:language>
  <cp:lastModifiedBy>Rebecca W. Cantrell</cp:lastModifiedBy>
  <dcterms:modified xsi:type="dcterms:W3CDTF">2001-05-25T15:24:00Z</dcterms:modified>
  <cp:revision>7</cp:revision>
  <dc:subject/>
  <dc:title>1</dc:title>
</cp:coreProperties>
</file>