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spacing w:lineRule="auto" w:line="240"/>
        <w:ind w:hanging="0" w:start="0"/>
        <w:rPr>
          <w:rFonts w:ascii="Times New Roman" w:hAnsi="Times New Roman" w:cs="Times New Roman"/>
          <w:sz w:val="20"/>
          <w:u w:val="none"/>
        </w:rPr>
      </w:pPr>
      <w:r>
        <w:rPr>
          <w:rFonts w:cs="Times New Roman" w:ascii="Times New Roman" w:hAnsi="Times New Roman"/>
          <w:sz w:val="20"/>
          <w:u w:val="none"/>
        </w:rPr>
        <w:t>ENRON NORTH AMERICA CORP. (“Enron”)</w:t>
      </w:r>
    </w:p>
    <w:p>
      <w:pPr>
        <w:pStyle w:val="Heading1"/>
        <w:spacing w:lineRule="auto" w:line="240"/>
        <w:ind w:hanging="0" w:start="0"/>
        <w:rPr>
          <w:rFonts w:ascii="Times New Roman" w:hAnsi="Times New Roman" w:cs="Times New Roman"/>
          <w:sz w:val="20"/>
        </w:rPr>
      </w:pPr>
      <w:r>
        <w:rPr>
          <w:rFonts w:cs="Times New Roman" w:ascii="Times New Roman" w:hAnsi="Times New Roman"/>
          <w:sz w:val="20"/>
        </w:rPr>
        <w:t>COAL PURCHASE AND SALE</w:t>
      </w:r>
    </w:p>
    <w:p>
      <w:pPr>
        <w:pStyle w:val="Heading1"/>
        <w:spacing w:lineRule="auto" w:line="240"/>
        <w:ind w:hanging="0" w:start="0"/>
        <w:rPr>
          <w:rFonts w:ascii="Times New Roman" w:hAnsi="Times New Roman" w:cs="Times New Roman"/>
          <w:sz w:val="20"/>
        </w:rPr>
      </w:pPr>
      <w:r>
        <w:rPr>
          <w:rFonts w:cs="Times New Roman" w:ascii="Times New Roman" w:hAnsi="Times New Roman"/>
          <w:sz w:val="20"/>
        </w:rPr>
        <w:t>GENERAL TERMS AND CONDITIONS</w:t>
      </w:r>
    </w:p>
    <w:p>
      <w:pPr>
        <w:pStyle w:val="Header"/>
        <w:tabs>
          <w:tab w:val="clear" w:pos="4320"/>
          <w:tab w:val="clear" w:pos="8640"/>
        </w:tabs>
        <w:rPr>
          <w:rFonts w:ascii="Times New Roman" w:hAnsi="Times New Roman" w:cs="Times New Roman"/>
          <w:sz w:val="20"/>
        </w:rPr>
      </w:pPr>
      <w:r>
        <w:rPr>
          <w:rFonts w:cs="Times New Roman"/>
          <w:sz w:val="20"/>
        </w:rPr>
      </w:r>
    </w:p>
    <w:p>
      <w:pPr>
        <w:pStyle w:val="Normal"/>
        <w:tabs>
          <w:tab w:val="clear" w:pos="720"/>
          <w:tab w:val="left" w:pos="-720" w:leader="none"/>
        </w:tabs>
        <w:suppressAutoHyphens w:val="true"/>
        <w:spacing w:before="0" w:after="60"/>
        <w:jc w:val="both"/>
        <w:rPr/>
      </w:pPr>
      <w:r>
        <w:rPr>
          <w:b/>
          <w:sz w:val="20"/>
        </w:rPr>
        <w:t xml:space="preserve">1.1  </w:t>
      </w:r>
      <w:r>
        <w:rPr>
          <w:b/>
          <w:sz w:val="20"/>
          <w:u w:val="single"/>
        </w:rPr>
        <w:t>TRANSACTION PROCEDURE.</w:t>
      </w:r>
      <w:r>
        <w:rPr>
          <w:sz w:val="20"/>
        </w:rPr>
        <w:t xml:space="preserve"> The term "Transaction" refers to any agreement for the purchase or sale of coal between Enron and the "Counterparty" (the party other than Enron) (each a "Party").  The special terms and conditions of a particular Transaction for the sale or purchase of Coal, including but not limited to, payment terms, price, quantity/tolerance, specifications, delivery location and delivery window shall be as set forth on this website ("Special Terms and Conditions").  Such Special Terms and Conditions, together with these General Terms and Conditions, constitute the Parties' entire agreement as to a particular Transaction and override and take the place of any terms or conditions emanating from or referred to by Counterparty..  As used herein, the term "this Agreement" means the Special Terms and Conditions evidencing a particular Transaction in issue, of which these General Terms and Conditions are a part.  The term "Other Agreement</w:t>
      </w:r>
      <w:r>
        <w:rPr>
          <w:b/>
          <w:sz w:val="20"/>
        </w:rPr>
        <w:t>"</w:t>
      </w:r>
      <w:r>
        <w:rPr>
          <w:sz w:val="20"/>
        </w:rPr>
        <w:t xml:space="preserve"> shall mean Transaction(s) between the Parties other than the Transaction covered by "this Agreement."  The term "Seller" shall mean the Party agreeing to sell and deliver the Products to Buyer, and the term "Buyer" shall mean the Party agreeing to purchase and receive Products from Seller.  </w:t>
      </w:r>
    </w:p>
    <w:p>
      <w:pPr>
        <w:pStyle w:val="Normal"/>
        <w:tabs>
          <w:tab w:val="clear" w:pos="720"/>
          <w:tab w:val="left" w:pos="-720" w:leader="none"/>
          <w:tab w:val="left" w:pos="8640" w:leader="none"/>
        </w:tabs>
        <w:suppressAutoHyphens w:val="true"/>
        <w:spacing w:before="0" w:after="60"/>
        <w:jc w:val="both"/>
        <w:rPr/>
      </w:pPr>
      <w:r>
        <w:rPr>
          <w:b/>
          <w:sz w:val="20"/>
        </w:rPr>
        <w:t xml:space="preserve">1.2  </w:t>
      </w:r>
      <w:r>
        <w:rPr>
          <w:sz w:val="20"/>
        </w:rPr>
        <w:t>A Transaction will be initiated by Counterparty offering to buy or sell coal by clicking on the designated boxes on this website.  This website is not, and shall not be construed as, an offer to buy or sell by Enron.  Enron may accept or reject Counterparty’s offer at its sole discretion.  A Transaction shall be deemed executed at the time that Enron first signifies its acceptance of Counterparty’s offer, accessible on this website.  Enron may also send a written confirmation memorializing the Special Terms and Conditions of a Transaction but in the event of any conflict, the terms of the written confirmation shall prevail.  All such Transactions shall constitute a single integrated master agreement between the Parties, it being acknowledged that the Parties are relying upon the fact that all such Transactions will form a single agreement and that the Parties would not otherwise enter into any Transactions.</w:t>
      </w:r>
    </w:p>
    <w:p>
      <w:pPr>
        <w:pStyle w:val="Normal"/>
        <w:tabs>
          <w:tab w:val="clear" w:pos="720"/>
          <w:tab w:val="left" w:pos="-720" w:leader="none"/>
        </w:tabs>
        <w:suppressAutoHyphens w:val="true"/>
        <w:spacing w:before="0" w:after="60"/>
        <w:jc w:val="both"/>
        <w:rPr/>
      </w:pPr>
      <w:r>
        <w:rPr>
          <w:b/>
          <w:sz w:val="20"/>
        </w:rPr>
        <w:t xml:space="preserve">2.  TERM/SCHEDULING.  </w:t>
      </w:r>
      <w:r>
        <w:rPr>
          <w:sz w:val="20"/>
        </w:rPr>
        <w:t>(PRB) Unit trains to be loaded during the period the Term as directed by Buyer upon at least 7 days prior notice from Buyer with respect to each Shipment, in approximately equal monthly amounts.</w:t>
      </w:r>
    </w:p>
    <w:p>
      <w:pPr>
        <w:pStyle w:val="Normal"/>
        <w:tabs>
          <w:tab w:val="clear" w:pos="720"/>
          <w:tab w:val="left" w:pos="-720" w:leader="none"/>
        </w:tabs>
        <w:suppressAutoHyphens w:val="true"/>
        <w:spacing w:before="0" w:after="60"/>
        <w:jc w:val="both"/>
        <w:rPr>
          <w:sz w:val="20"/>
        </w:rPr>
      </w:pPr>
      <w:r>
        <w:rPr>
          <w:sz w:val="20"/>
        </w:rPr>
        <w:t>(NYMEX LOOK A LIKE) Barge(s), unit trains or trucks (as appropriate) to be loaded during the period the Term as directed by Buyer upon at least 7 days prior notice from Buyer with respect to each Shipment, in approximately equal monthly amounts.</w:t>
      </w:r>
    </w:p>
    <w:p>
      <w:pPr>
        <w:pStyle w:val="Normal"/>
        <w:tabs>
          <w:tab w:val="clear" w:pos="720"/>
          <w:tab w:val="left" w:pos="-720" w:leader="none"/>
        </w:tabs>
        <w:suppressAutoHyphens w:val="true"/>
        <w:spacing w:before="0" w:after="60"/>
        <w:jc w:val="both"/>
        <w:rPr>
          <w:b/>
          <w:sz w:val="20"/>
        </w:rPr>
      </w:pPr>
      <w:r>
        <w:rPr>
          <w:b/>
          <w:sz w:val="20"/>
        </w:rPr>
        <w:t xml:space="preserve">3. REJECTION RIGHTS </w:t>
      </w:r>
      <w:r>
        <w:rPr>
          <w:sz w:val="20"/>
        </w:rPr>
        <w:t>Buyer may reject any Shipment that fails to meet the minimums or exceeds the maximums, determined in accordance with ASTM Standards (“Standards”).  Disposal of Coal that that fails to meet the minimums or exceeds the maximums shall be for Seller’s account.  Buyer and Seller shall cooperate to minimize Seller’s cost of disposal.</w:t>
      </w:r>
    </w:p>
    <w:p>
      <w:pPr>
        <w:pStyle w:val="BodyText"/>
        <w:spacing w:before="0" w:after="60"/>
        <w:rPr/>
      </w:pPr>
      <w:r>
        <w:rPr>
          <w:rFonts w:cs="Times New Roman" w:ascii="Times New Roman" w:hAnsi="Times New Roman"/>
          <w:b/>
          <w:sz w:val="20"/>
        </w:rPr>
        <w:t xml:space="preserve">4. CALORIFIC VALUE ADJUSTMENT. </w:t>
      </w:r>
      <w:r>
        <w:rPr>
          <w:rFonts w:cs="Times New Roman" w:ascii="Times New Roman" w:hAnsi="Times New Roman"/>
          <w:sz w:val="20"/>
        </w:rPr>
        <w:t>If it is determined that the weighted average actual (as-received basis) calorific value (“Actual Btu/lb.”) of any Shipment accepted by Buyer is other than [ ] Btu/lb., but is not less than the Rejection Limit for Btu/lb., Seller shall calculate a calorific price adjustment as follows:</w:t>
      </w:r>
    </w:p>
    <w:p>
      <w:pPr>
        <w:pStyle w:val="Normal"/>
        <w:tabs>
          <w:tab w:val="clear" w:pos="720"/>
          <w:tab w:val="left" w:pos="-720" w:leader="none"/>
        </w:tabs>
        <w:suppressAutoHyphens w:val="true"/>
        <w:spacing w:before="0" w:after="60"/>
        <w:jc w:val="both"/>
        <w:rPr>
          <w:b/>
          <w:sz w:val="20"/>
        </w:rPr>
      </w:pPr>
      <w:r>
        <w:rPr>
          <w:sz w:val="20"/>
        </w:rPr>
        <w:tab/>
        <w:tab/>
        <w:t xml:space="preserve">Price x </w:t>
      </w:r>
      <w:r>
        <w:rPr>
          <w:sz w:val="20"/>
          <w:u w:val="single"/>
        </w:rPr>
        <w:t>[(Actual Btu/lb. – [ ] Btu/lb. / [ ] Btu/lb.]</w:t>
      </w:r>
    </w:p>
    <w:p>
      <w:pPr>
        <w:pStyle w:val="Normal"/>
        <w:tabs>
          <w:tab w:val="clear" w:pos="720"/>
          <w:tab w:val="left" w:pos="-720" w:leader="none"/>
        </w:tabs>
        <w:suppressAutoHyphens w:val="true"/>
        <w:spacing w:before="0" w:after="60"/>
        <w:jc w:val="both"/>
        <w:rPr>
          <w:b/>
          <w:sz w:val="20"/>
        </w:rPr>
      </w:pPr>
      <w:r>
        <w:rPr>
          <w:b/>
          <w:sz w:val="20"/>
        </w:rPr>
        <w:t xml:space="preserve">5. SAMPLING AND ANALYSIS. </w:t>
      </w:r>
      <w:r>
        <w:rPr>
          <w:sz w:val="20"/>
        </w:rPr>
        <w:t>Sampling via mechanical sampler for each Shipment shall be performed at the Delivery Point.  Analysis shall be performed in accordance with the Standards with the cost for such sampling and analysis for Seller’s account.  Analysis shall be performed by Seller.  Such analysis shall be final and binding and govern for payment.</w:t>
      </w:r>
    </w:p>
    <w:p>
      <w:pPr>
        <w:pStyle w:val="Normal"/>
        <w:tabs>
          <w:tab w:val="clear" w:pos="720"/>
          <w:tab w:val="left" w:pos="-720" w:leader="none"/>
        </w:tabs>
        <w:suppressAutoHyphens w:val="true"/>
        <w:spacing w:before="0" w:after="60"/>
        <w:jc w:val="both"/>
        <w:rPr/>
      </w:pPr>
      <w:r>
        <w:rPr>
          <w:b/>
          <w:sz w:val="20"/>
        </w:rPr>
        <w:t xml:space="preserve">6. WEIGHING.  </w:t>
      </w:r>
      <w:r>
        <w:rPr>
          <w:sz w:val="20"/>
        </w:rPr>
        <w:t>(PRB) The weight for each Shipment shall be determined by certified scales at the Source.  The cost of weighing shall be for Seller's account and such weights shall be final and binding and govern for payment.  (NYMEX LOOK A LIKE) The weight for each Shipment shall be determined by certified scales at the Source or draft survey at barge loading as performed by an independent draft surveyor jointly appointed by Buyer and Seller, as appropriate.  The cost of weighing shall be for Seller's account and such weights shall be final and binding and govern for payment.</w:t>
      </w:r>
    </w:p>
    <w:p>
      <w:pPr>
        <w:pStyle w:val="Normal"/>
        <w:tabs>
          <w:tab w:val="clear" w:pos="720"/>
          <w:tab w:val="left" w:pos="-720" w:leader="none"/>
        </w:tabs>
        <w:suppressAutoHyphens w:val="true"/>
        <w:spacing w:before="0" w:after="60"/>
        <w:jc w:val="both"/>
        <w:rPr/>
      </w:pPr>
      <w:r>
        <w:rPr>
          <w:b/>
          <w:sz w:val="20"/>
        </w:rPr>
        <w:t xml:space="preserve">7. Loading/ Discharge Terms.  </w:t>
      </w:r>
      <w:r>
        <w:rPr>
          <w:sz w:val="20"/>
        </w:rPr>
        <w:t>(PRB) Buyer shall designate to Seller the routing by railroad of Shipment of Coal purchased under this Agreement.  Seller shall be obligated to properly load Coal sold hereunder into railcars for delivery to Buyer, provided that Buyer has provided Seller with applicable loading instructions (including minimum and maximum weights) no less than 24 hours prior to the arrival of a unit train and said instructions are in general compliance with industry standards in the Source area for flood and batch loading as applicable.]  Seller shall use its reasonable efforts to ship the Coal under the specified delivery schedule and Buyer shall use its reasonable efforts to receive the Coal under the specified delivery schedule and said schedule shall only be varied by mutual consent.  (NYMEX LOOK A LIKE) In accordance with mutually agreeable terms and conditions, including demurrage and dispatch clauses within reasonable commercial standards typical for the Ohio River milepost 306 to 317 or the Big Sandy River, as applicable to the loading.  Seller shall use its reasonable efforts to ship the Coal under the specified delivery schedule and Buyer shall use its reasonable efforts to receive the Coal under the specified delivery schedule and said schedule shall only be varied by mutual consent.</w:t>
      </w:r>
    </w:p>
    <w:p>
      <w:pPr>
        <w:pStyle w:val="BodyText"/>
        <w:spacing w:before="120" w:after="60"/>
        <w:rPr/>
      </w:pPr>
      <w:r>
        <w:rPr>
          <w:rFonts w:cs="Times New Roman" w:ascii="Times New Roman" w:hAnsi="Times New Roman"/>
          <w:b/>
          <w:sz w:val="20"/>
        </w:rPr>
        <w:t>8.</w:t>
      </w:r>
      <w:r>
        <w:rPr>
          <w:rFonts w:cs="Times New Roman" w:ascii="Times New Roman" w:hAnsi="Times New Roman"/>
          <w:sz w:val="20"/>
        </w:rPr>
        <w:t xml:space="preserve">  </w:t>
      </w:r>
      <w:r>
        <w:rPr>
          <w:rFonts w:cs="Times New Roman" w:ascii="Times New Roman" w:hAnsi="Times New Roman"/>
          <w:b/>
          <w:sz w:val="20"/>
          <w:u w:val="single"/>
        </w:rPr>
        <w:t>PAYMENT</w:t>
      </w:r>
      <w:r>
        <w:rPr>
          <w:rFonts w:cs="Times New Roman" w:ascii="Times New Roman" w:hAnsi="Times New Roman"/>
          <w:sz w:val="20"/>
        </w:rPr>
        <w:t xml:space="preserve">.  The Price specified herein shall be paid in United States funds.  Overdue payments shall accrue interest from the due date at the rate of two percent over the prime lending rate as published from time to time in the </w:t>
      </w:r>
      <w:r>
        <w:rPr>
          <w:rFonts w:cs="Times New Roman" w:ascii="Times New Roman" w:hAnsi="Times New Roman"/>
          <w:i/>
          <w:sz w:val="20"/>
        </w:rPr>
        <w:t xml:space="preserve">Wall Street Journal </w:t>
      </w:r>
      <w:r>
        <w:rPr>
          <w:rFonts w:cs="Times New Roman" w:ascii="Times New Roman" w:hAnsi="Times New Roman"/>
          <w:sz w:val="20"/>
        </w:rPr>
        <w:t>(“Interest Rate”), but in no event to exceed the maximum lawful rate. Payment shall be made net cash via wire transfer to Seller's designated account on or before the tenth day following receipt of the Shipment invoice.  If any payment is required to be made to Enron, then it shall be made to:</w:t>
      </w:r>
    </w:p>
    <w:p>
      <w:pPr>
        <w:pStyle w:val="BodyText"/>
        <w:spacing w:before="0" w:after="0"/>
        <w:ind w:start="1512" w:end="0"/>
        <w:rPr>
          <w:rFonts w:ascii="Times New Roman" w:hAnsi="Times New Roman" w:cs="Times New Roman"/>
          <w:sz w:val="20"/>
        </w:rPr>
      </w:pPr>
      <w:r>
        <w:rPr>
          <w:rFonts w:cs="Times New Roman" w:ascii="Times New Roman" w:hAnsi="Times New Roman"/>
          <w:sz w:val="20"/>
        </w:rPr>
        <w:t>NationsBank of Texas-Dallas</w:t>
      </w:r>
    </w:p>
    <w:p>
      <w:pPr>
        <w:pStyle w:val="BodyText"/>
        <w:spacing w:before="0" w:after="0"/>
        <w:ind w:start="1512" w:end="0"/>
        <w:rPr>
          <w:rFonts w:ascii="Times New Roman" w:hAnsi="Times New Roman" w:cs="Times New Roman"/>
          <w:sz w:val="20"/>
        </w:rPr>
      </w:pPr>
      <w:r>
        <w:rPr>
          <w:rFonts w:cs="Times New Roman" w:ascii="Times New Roman" w:hAnsi="Times New Roman"/>
          <w:sz w:val="20"/>
        </w:rPr>
        <w:t>For Enron Capital &amp; Trade Resources Corp.</w:t>
      </w:r>
    </w:p>
    <w:p>
      <w:pPr>
        <w:pStyle w:val="BodyText"/>
        <w:spacing w:before="0" w:after="0"/>
        <w:ind w:start="1512" w:end="0"/>
        <w:rPr>
          <w:rFonts w:ascii="Times New Roman" w:hAnsi="Times New Roman" w:cs="Times New Roman"/>
          <w:sz w:val="20"/>
        </w:rPr>
      </w:pPr>
      <w:r>
        <w:rPr>
          <w:rFonts w:cs="Times New Roman" w:ascii="Times New Roman" w:hAnsi="Times New Roman"/>
          <w:sz w:val="20"/>
        </w:rPr>
        <w:t>ABA Routing #111000012</w:t>
      </w:r>
    </w:p>
    <w:p>
      <w:pPr>
        <w:pStyle w:val="Normal"/>
        <w:tabs>
          <w:tab w:val="clear" w:pos="720"/>
          <w:tab w:val="left" w:pos="-720" w:leader="none"/>
        </w:tabs>
        <w:suppressAutoHyphens w:val="true"/>
        <w:spacing w:before="0" w:after="60"/>
        <w:jc w:val="both"/>
        <w:rPr>
          <w:sz w:val="20"/>
        </w:rPr>
      </w:pPr>
      <w:r>
        <w:rPr>
          <w:sz w:val="20"/>
        </w:rPr>
        <w:tab/>
        <w:tab/>
        <w:t xml:space="preserve">  Account #375 049 4992</w:t>
      </w:r>
    </w:p>
    <w:p>
      <w:pPr>
        <w:pStyle w:val="Normal"/>
        <w:tabs>
          <w:tab w:val="clear" w:pos="720"/>
          <w:tab w:val="left" w:pos="-720" w:leader="none"/>
        </w:tabs>
        <w:suppressAutoHyphens w:val="true"/>
        <w:spacing w:before="0" w:after="60"/>
        <w:jc w:val="both"/>
        <w:rPr/>
      </w:pPr>
      <w:r>
        <w:rPr>
          <w:b/>
          <w:sz w:val="20"/>
        </w:rPr>
        <w:t xml:space="preserve">9.  </w:t>
      </w:r>
      <w:r>
        <w:rPr>
          <w:b/>
          <w:sz w:val="20"/>
          <w:u w:val="single"/>
        </w:rPr>
        <w:t>LIMITATION ON WARRANTY</w:t>
      </w:r>
      <w:r>
        <w:rPr>
          <w:sz w:val="20"/>
        </w:rPr>
        <w:t>.  EXCEPT AS EXPRESSLY SET FORTH HEREIN, SELLER EXPRESSLY DISCLAIMS ANY OTHER REPRESENTATIONS OR WARRANTIES, WRITTEN OR ORAL, EXPRESS OR IMPLIED, INCLUDING, WITHOUT LIMITATION, ANY WARRANTY WITH RESPECT TO CONFORMITY TO SAMPLES, MERCHANTABILITY, OR FITNESS FOR ANY PARTICULAR PURPOSE.</w:t>
      </w:r>
    </w:p>
    <w:p>
      <w:pPr>
        <w:pStyle w:val="Normal"/>
        <w:tabs>
          <w:tab w:val="clear" w:pos="720"/>
          <w:tab w:val="left" w:pos="-720" w:leader="none"/>
          <w:tab w:val="left" w:pos="630" w:leader="none"/>
        </w:tabs>
        <w:suppressAutoHyphens w:val="true"/>
        <w:jc w:val="both"/>
        <w:rPr/>
      </w:pPr>
      <w:r>
        <w:rPr>
          <w:b/>
          <w:sz w:val="20"/>
          <w:u w:val="single"/>
        </w:rPr>
        <w:t>10.  FORCE MAJEURE</w:t>
      </w:r>
      <w:r>
        <w:rPr>
          <w:sz w:val="20"/>
        </w:rPr>
        <w:t xml:space="preserve">.  If, because of Force Majeure, either party is unable to carry out any of its obligations hereunder, and if such party shall promptly give notice thereof to the other party, then the obligations of the party giving such notice shall be suspended to the extent made necessary by such Force Majeure and during its continuance, provided, however, that the party giving such notice shall use its reasonable efforts to eliminate such Force Majeure.  Any deficiencies in deliveries caused by Force Majeure shall not be made up except by mutual agreement.  Should the Force Majeure continue for 30 consecutive days, the party not claiming Force Majeure may, at its option, terminate this Agreement on 3 days prior written notice.  "Force Majeure" means any cause(s) not reasonably within the control, and without the fault or negligence, of the party affected thereby, which wholly or partly prevents the performance by that party of its obligations hereunder (except the payment of money), but only if such party is unable in good faith to obtain a substitute therefor; provided, however, in no event shall a Force Majeure be construed to relieve a party of any obligations under this Agreement solely because of increased costs or other adverse economic consequences that may be incurred by such party through performance of such obligations.  </w:t>
      </w:r>
    </w:p>
    <w:p>
      <w:pPr>
        <w:pStyle w:val="Normal"/>
        <w:numPr>
          <w:ilvl w:val="0"/>
          <w:numId w:val="2"/>
        </w:numPr>
        <w:tabs>
          <w:tab w:val="clear" w:pos="720"/>
          <w:tab w:val="left" w:pos="-720" w:leader="none"/>
        </w:tabs>
        <w:suppressAutoHyphens w:val="true"/>
        <w:jc w:val="both"/>
        <w:rPr>
          <w:sz w:val="20"/>
        </w:rPr>
      </w:pPr>
      <w:r>
        <w:rPr>
          <w:b/>
          <w:sz w:val="20"/>
          <w:u w:val="single"/>
        </w:rPr>
        <w:t xml:space="preserve">  </w:t>
      </w:r>
      <w:r>
        <w:rPr>
          <w:b/>
          <w:sz w:val="20"/>
          <w:u w:val="single"/>
        </w:rPr>
        <w:t>EVENTS OF DEFAULT AND REMEDIES</w:t>
      </w:r>
      <w:r>
        <w:rPr>
          <w:sz w:val="20"/>
        </w:rPr>
        <w:t>.</w:t>
      </w:r>
    </w:p>
    <w:p>
      <w:pPr>
        <w:pStyle w:val="BodyTextIndent2"/>
        <w:numPr>
          <w:ilvl w:val="0"/>
          <w:numId w:val="3"/>
        </w:numPr>
        <w:tabs>
          <w:tab w:val="clear" w:pos="720"/>
          <w:tab w:val="left" w:pos="-720" w:leader="none"/>
        </w:tabs>
        <w:suppressAutoHyphens w:val="true"/>
        <w:spacing w:lineRule="auto" w:line="240" w:before="0" w:after="0"/>
        <w:ind w:firstLine="720" w:start="0" w:end="0"/>
        <w:rPr>
          <w:rFonts w:ascii="Times New Roman" w:hAnsi="Times New Roman" w:cs="Times New Roman"/>
          <w:sz w:val="20"/>
        </w:rPr>
      </w:pPr>
      <w:r>
        <w:rPr>
          <w:rFonts w:cs="Times New Roman" w:ascii="Times New Roman" w:hAnsi="Times New Roman"/>
          <w:sz w:val="20"/>
        </w:rPr>
        <w:t>Subject to the limitations set forth in the provisions of (b) - (d) of this Paragraph 4, in the event (“Event of Default”) of (i) the failure of either party to make when due, any payment required hereunder if such failure is not remedied within five working days after notice of such failure is given to the defaulting party by the other party, (ii) the failure of either party to comply with any or all of its other respective obligations in good faith as herein set forth and such non-compliance is not cured within five days after notice thereof to defaulting party, or (iii) either party (a) filing a petition in bankruptcy and such petition is not withdrawn or dismissed for 30 days after such filing; (b) having such a petition filed against it, and such petition is not withdrawn or dismissed within thirty (30) days after such filing; (c) becoming otherwise insolvent or unable to pay its debts as they become due, or (iv) the failure of a party’s guarantor  (such party being deemed to be the defaulting party) to perform any covenant set forth in its guaranty, or such guaranty shall expire or be terminated or shall cease to guarantee the obligations of such party hereunder, or such guarantor shall become subject to any of the events specified in (iii) (a), (b) or (c), the non-defaulting party may, for so long as such Event of Default is continuing, (A) establish by notice to the defaulting party a date on which this Agreement shall terminate early (the “Early Termination Date”), and the non-defaulting party shall calculate, using the formula described in (b) or (c) below, as applicable, and otherwise in a commercially reasonable manner, its damages, including any associated costs, resulting from the early termination of this Agreement. Such damages and costs, if any, shall be paid by the defaulting party to the nondefaulting party within five working days of the defaulting party’s receipt of Notice of the damages amount,  and/or (B) suspend performance of  its obligations under this Agreement until such Event of Default is cured.  The failure of the parties to agree on a price adjustment shall not constitute grounds for rescission of termination of this Agreement.</w:t>
      </w:r>
    </w:p>
    <w:p>
      <w:pPr>
        <w:pStyle w:val="Normal"/>
        <w:numPr>
          <w:ilvl w:val="0"/>
          <w:numId w:val="5"/>
        </w:numPr>
        <w:tabs>
          <w:tab w:val="clear" w:pos="720"/>
          <w:tab w:val="left" w:pos="1080" w:leader="none"/>
        </w:tabs>
        <w:ind w:firstLine="720" w:start="0" w:end="0"/>
        <w:jc w:val="both"/>
        <w:rPr>
          <w:sz w:val="20"/>
        </w:rPr>
      </w:pPr>
      <w:r>
        <w:rPr>
          <w:sz w:val="20"/>
        </w:rPr>
        <w:t>Unless excused by Force Majeure or Buyer's failure to perform, if Seller fails to deliver all or part of the quantity of coal to be delivered hereunder, Seller shall pay Buyer for each ton of such deficiency (the "Deficiency") an amount equal to the positive difference, if any, obtained by subtracting the Price for the Deficiency from the Replacement Price.  "Replacement Price" means the price at which Buyer, acting in a commercially reasonable manner, purchases substitute coal for the Deficiency (plus additional transportation charges, if any, incurred by Buyer as a result of taking delivery of substitute coal at a location other than the relevant Delivery Point) or, absent such a purchase, the market price for such quantity of coal (F.O.B., Delivery Point) as determined by Buyer in a commercially reasonable manner.  It is expressly agreed that Buyer shall not be required to enter into a replacement transaction in order to determine the Replacement Price. Such payment shall be paid within 10 days after an invoice is received by the party obligated to make the payment.</w:t>
      </w:r>
    </w:p>
    <w:p>
      <w:pPr>
        <w:pStyle w:val="Normal"/>
        <w:numPr>
          <w:ilvl w:val="0"/>
          <w:numId w:val="4"/>
        </w:numPr>
        <w:tabs>
          <w:tab w:val="clear" w:pos="720"/>
          <w:tab w:val="left" w:pos="1080" w:leader="none"/>
        </w:tabs>
        <w:ind w:firstLine="720" w:start="0" w:end="0"/>
        <w:jc w:val="both"/>
        <w:rPr>
          <w:sz w:val="20"/>
        </w:rPr>
      </w:pPr>
      <w:r>
        <w:rPr>
          <w:sz w:val="20"/>
        </w:rPr>
        <w:t>Unless excused by Force Majeure or Seller's failure to perform, if Buyer fails to accept all or any part of the quantity of coal to be delivered hereunder, Buyer shall pay Seller for each ton of the Deficiency an amount equal to the positive difference, if any, obtained by subtracting the Sales Price from the Price.  "Sales Price" means the price at which Seller, acting in a commercially reasonable manner, resells (if at all) the Deficiency (including additional transportation charges, if any, incurred by Seller as a result of delivering coal at a location other than the relevant Delivery Point) or, absent such a sale, the market price for such quantity of coal (F.O.B., Delivery Point), as determined by Seller in a commercially reasonable manner.  It is expressly agreed that Seller shall not be required to enter into a replacement transaction in order to determine the Sales Price. Such payment shall be paid within 10 days after an invoice is received by the party obligated to make the payment.</w:t>
      </w:r>
    </w:p>
    <w:p>
      <w:pPr>
        <w:pStyle w:val="BodyTextIndent2"/>
        <w:tabs>
          <w:tab w:val="clear" w:pos="720"/>
          <w:tab w:val="left" w:pos="1080" w:leader="none"/>
        </w:tabs>
        <w:spacing w:lineRule="auto" w:line="240"/>
        <w:rPr>
          <w:rFonts w:ascii="Times New Roman" w:hAnsi="Times New Roman" w:cs="Times New Roman"/>
          <w:sz w:val="20"/>
        </w:rPr>
      </w:pPr>
      <w:r>
        <w:rPr>
          <w:rFonts w:cs="Times New Roman" w:ascii="Times New Roman" w:hAnsi="Times New Roman"/>
          <w:sz w:val="20"/>
        </w:rPr>
        <w:t>(d)</w:t>
        <w:tab/>
        <w:t>Each party hereby stipulates that the payment obligations set forth in (b) and (c) above are reasonable in light of the anticipated harm and the difficulty of estimation or calculation of actual damages and each party hereby waives the right to contest such payments as an unreasonable penalty or otherwise.  In the event that either Seller or Buyer fails to pay amounts under this Agreement when due, the aggrieved party shall have the right to:  (i) suspend performance under this Agreement until such amounts plus interest at the Interest Rate have been paid, and/or (ii) exercise any remedy available at law or in equity to enforce payment of such amount plus interest at the Interest Rate.  The remedy set forth in (b) and (c) of this Paragraph 4 shall be the sole and exclusive remedy of the aggrieved party for the failure of the other to deliver or accept, as the case may be, the quantity of coal specified herein prior to an early termination of this Agreement, and all other damages and remedies are hereby waived as to such failure(s), except as set forth in Paragraph 5 below.</w:t>
      </w:r>
    </w:p>
    <w:p>
      <w:pPr>
        <w:pStyle w:val="Normal"/>
        <w:tabs>
          <w:tab w:val="clear" w:pos="720"/>
          <w:tab w:val="left" w:pos="-720" w:leader="none"/>
        </w:tabs>
        <w:suppressAutoHyphens w:val="true"/>
        <w:spacing w:before="0" w:after="60"/>
        <w:jc w:val="both"/>
        <w:rPr/>
      </w:pPr>
      <w:r>
        <w:rPr>
          <w:b/>
          <w:sz w:val="20"/>
        </w:rPr>
        <w:t xml:space="preserve">12.  </w:t>
      </w:r>
      <w:r>
        <w:rPr>
          <w:b/>
          <w:sz w:val="20"/>
          <w:u w:val="single"/>
        </w:rPr>
        <w:t>LIMITATION ON LIABILITY</w:t>
      </w:r>
      <w:r>
        <w:rPr>
          <w:sz w:val="20"/>
        </w:rPr>
        <w:t>.  No waiver of remedies or damages herein shall apply to claims of anticipatory repudiation or remedies therefor provided by law except that neither Seller nor Buyer shall be liable to the other for consequential, incidental, punitive, exemplary or indirect damages, lost profits, or business interruption damages, whether by statute, in tort or in contract, under any indemnity provision or otherwise.</w:t>
      </w:r>
    </w:p>
    <w:p>
      <w:pPr>
        <w:pStyle w:val="Normal"/>
        <w:tabs>
          <w:tab w:val="clear" w:pos="720"/>
          <w:tab w:val="left" w:pos="-720" w:leader="none"/>
        </w:tabs>
        <w:suppressAutoHyphens w:val="true"/>
        <w:spacing w:before="0" w:after="60"/>
        <w:jc w:val="both"/>
        <w:rPr>
          <w:b/>
          <w:sz w:val="20"/>
        </w:rPr>
      </w:pPr>
      <w:r>
        <w:rPr>
          <w:b/>
          <w:sz w:val="20"/>
        </w:rPr>
        <w:t xml:space="preserve">13.  </w:t>
      </w:r>
      <w:r>
        <w:rPr>
          <w:b/>
          <w:sz w:val="20"/>
          <w:u w:val="single"/>
        </w:rPr>
        <w:t>TITLE/RISK OF LOSS</w:t>
      </w:r>
      <w:r>
        <w:rPr>
          <w:sz w:val="20"/>
        </w:rPr>
        <w:t>.  Seller warrants good title to all coal delivered hereunder, free and clear of all claims and encumbrances.  Title and risk of loss shall pass to Buyer upon delivery at the Delivery Point.</w:t>
      </w:r>
    </w:p>
    <w:p>
      <w:pPr>
        <w:pStyle w:val="Normal"/>
        <w:tabs>
          <w:tab w:val="clear" w:pos="720"/>
          <w:tab w:val="left" w:pos="-720" w:leader="none"/>
        </w:tabs>
        <w:suppressAutoHyphens w:val="true"/>
        <w:spacing w:before="0" w:after="60"/>
        <w:jc w:val="both"/>
        <w:rPr/>
      </w:pPr>
      <w:r>
        <w:rPr>
          <w:b/>
          <w:sz w:val="20"/>
        </w:rPr>
        <w:t xml:space="preserve">14.  </w:t>
      </w:r>
      <w:r>
        <w:rPr>
          <w:b/>
          <w:sz w:val="20"/>
          <w:u w:val="single"/>
        </w:rPr>
        <w:t>ASSIGNMENT</w:t>
      </w:r>
      <w:r>
        <w:rPr>
          <w:sz w:val="20"/>
        </w:rPr>
        <w:t xml:space="preserve">.  Neither party shall assign this Agreement without the prior written consent of the other, which consent may not be unreasonably withheld or delayed.  Notwithstanding the foregoing, either party may, without the need for consent from the other party (and without relieving itself from liability hereunder), (a) transfer, sell, pledge, encumber or assign this Agreement or the accounts, revenues or proceeds hereof in connection with any financing or other financial arrangements; (b) transfer or assign this Agreement to an Affiliate of such party; or (c) transfer or assign this Agreement to any person or entity succeeding to all or substantially all of the assets of such party; </w:t>
      </w:r>
      <w:r>
        <w:rPr>
          <w:i/>
          <w:sz w:val="20"/>
        </w:rPr>
        <w:t xml:space="preserve">provided, however, </w:t>
      </w:r>
      <w:r>
        <w:rPr>
          <w:sz w:val="20"/>
        </w:rPr>
        <w:t>that in each such case any such assignee shall agree in writing to be bound by the terms and conditions hereof.  “Affiliate” means, with respect to any person, any other person (other than an individual) that directly or indirectly, through one or more intermediaries, controls or is controlled by, or is under common control with, such person.  For this purpose, “</w:t>
      </w:r>
      <w:r>
        <w:rPr>
          <w:sz w:val="20"/>
          <w:u w:val="single"/>
        </w:rPr>
        <w:t>control</w:t>
      </w:r>
      <w:r>
        <w:rPr>
          <w:sz w:val="20"/>
        </w:rPr>
        <w:t>” means the direct or indirect ownership of 50% or more of the outstanding capital stock or other equity interests having ordinary voting power.</w:t>
      </w:r>
    </w:p>
    <w:p>
      <w:pPr>
        <w:pStyle w:val="Normal"/>
        <w:tabs>
          <w:tab w:val="clear" w:pos="720"/>
          <w:tab w:val="left" w:pos="-720" w:leader="none"/>
        </w:tabs>
        <w:suppressAutoHyphens w:val="true"/>
        <w:spacing w:before="0" w:after="60"/>
        <w:jc w:val="both"/>
        <w:rPr/>
      </w:pPr>
      <w:r>
        <w:rPr>
          <w:b/>
          <w:sz w:val="20"/>
        </w:rPr>
        <w:t xml:space="preserve">15.  </w:t>
      </w:r>
      <w:r>
        <w:rPr>
          <w:b/>
          <w:sz w:val="20"/>
          <w:u w:val="single"/>
        </w:rPr>
        <w:t>ENTIRE AGREEMENT</w:t>
      </w:r>
      <w:r>
        <w:rPr>
          <w:sz w:val="20"/>
        </w:rPr>
        <w:t>.  This Agreement is the final and entire agreement between the parties.  No modification or amendment of this Agreement shall be effective or binding unless set forth in a writing signed by both parties.</w:t>
      </w:r>
    </w:p>
    <w:p>
      <w:pPr>
        <w:pStyle w:val="Normal"/>
        <w:tabs>
          <w:tab w:val="clear" w:pos="720"/>
          <w:tab w:val="left" w:pos="-720" w:leader="none"/>
        </w:tabs>
        <w:suppressAutoHyphens w:val="true"/>
        <w:spacing w:before="0" w:after="60"/>
        <w:jc w:val="both"/>
        <w:rPr/>
      </w:pPr>
      <w:r>
        <w:rPr>
          <w:b/>
          <w:sz w:val="20"/>
        </w:rPr>
        <w:t xml:space="preserve">16.  </w:t>
      </w:r>
      <w:r>
        <w:rPr>
          <w:b/>
          <w:sz w:val="20"/>
          <w:u w:val="single"/>
        </w:rPr>
        <w:t>NO WAIVER</w:t>
      </w:r>
      <w:r>
        <w:rPr>
          <w:sz w:val="20"/>
        </w:rPr>
        <w:t>.  Waiver of any breach of this Agreement shall not be construed as a waiver of any other breach.</w:t>
      </w:r>
    </w:p>
    <w:p>
      <w:pPr>
        <w:pStyle w:val="Normal"/>
        <w:tabs>
          <w:tab w:val="clear" w:pos="720"/>
          <w:tab w:val="left" w:pos="-720" w:leader="none"/>
        </w:tabs>
        <w:suppressAutoHyphens w:val="true"/>
        <w:spacing w:before="0" w:after="60"/>
        <w:jc w:val="both"/>
        <w:rPr/>
      </w:pPr>
      <w:r>
        <w:rPr>
          <w:b/>
          <w:sz w:val="20"/>
        </w:rPr>
        <w:t xml:space="preserve">17.  </w:t>
      </w:r>
      <w:r>
        <w:rPr>
          <w:b/>
          <w:sz w:val="20"/>
          <w:u w:val="single"/>
        </w:rPr>
        <w:t>GOVERNING LAW</w:t>
      </w:r>
      <w:r>
        <w:rPr>
          <w:sz w:val="20"/>
        </w:rPr>
        <w:t xml:space="preserve">.  This Agreement shall be construed and governed by the laws of the State of Texas, including, without limitation, the Uniform Commercial Code, without giving effect to principles of conflicts of law. </w:t>
      </w:r>
    </w:p>
    <w:p>
      <w:pPr>
        <w:pStyle w:val="Normal"/>
        <w:tabs>
          <w:tab w:val="clear" w:pos="720"/>
          <w:tab w:val="left" w:pos="-720" w:leader="none"/>
        </w:tabs>
        <w:suppressAutoHyphens w:val="true"/>
        <w:spacing w:before="0" w:after="60"/>
        <w:jc w:val="both"/>
        <w:rPr/>
      </w:pPr>
      <w:r>
        <w:rPr>
          <w:b/>
          <w:sz w:val="20"/>
        </w:rPr>
        <w:t xml:space="preserve">18.  </w:t>
      </w:r>
      <w:r>
        <w:rPr>
          <w:b/>
          <w:sz w:val="20"/>
          <w:u w:val="single"/>
        </w:rPr>
        <w:t>CONFIDENTIALITY</w:t>
      </w:r>
      <w:r>
        <w:rPr>
          <w:sz w:val="20"/>
        </w:rPr>
        <w:t>.  Each party acknowledges that this Agreement contains confidential information that would put them at a competitive disadvantage if disclosed to the public.  Therefore, the terms of this Agreement shall be kept confidential by the parties, except to the extent disclosure may be required by law, regulation or judicial or administrative order.</w:t>
      </w:r>
    </w:p>
    <w:p>
      <w:pPr>
        <w:pStyle w:val="Normal"/>
        <w:numPr>
          <w:ilvl w:val="0"/>
          <w:numId w:val="6"/>
        </w:numPr>
        <w:tabs>
          <w:tab w:val="clear" w:pos="720"/>
          <w:tab w:val="left" w:pos="-720" w:leader="none"/>
        </w:tabs>
        <w:suppressAutoHyphens w:val="true"/>
        <w:spacing w:before="0" w:after="60"/>
        <w:jc w:val="both"/>
        <w:rPr>
          <w:sz w:val="20"/>
        </w:rPr>
      </w:pPr>
      <w:r>
        <w:rPr>
          <w:b/>
          <w:sz w:val="20"/>
          <w:u w:val="single"/>
        </w:rPr>
        <w:t>SETOFF</w:t>
      </w:r>
      <w:r>
        <w:rPr>
          <w:sz w:val="20"/>
        </w:rPr>
        <w:t>.  Each party reserves all rights of setoff which such party has or may be entitled to arising from or out of this Agreement.</w:t>
      </w:r>
    </w:p>
    <w:sectPr>
      <w:type w:val="nextPage"/>
      <w:pgSz w:w="12240" w:h="15840"/>
      <w:pgMar w:left="1440" w:right="1440" w:gutter="0" w:header="0" w:top="1440" w:footer="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charset w:val="00" w:characterSet="windows-1252"/>
    <w:family w:val="roman"/>
    <w:pitch w:val="variable"/>
  </w:font>
  <w:font w:name="CG Times (WN)">
    <w:charset w:val="00" w:characterSet="windows-1252"/>
    <w:family w:val="roman"/>
    <w:pitch w:val="variable"/>
  </w:font>
  <w:font w:name="Century Schoolbook">
    <w:charset w:val="00" w:characterSet="windows-1252"/>
    <w:family w:val="roman"/>
    <w:pitch w:val="variable"/>
  </w:font>
  <w:font w:name="Tahoma">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1"/>
      <w:numFmt w:val="decimal"/>
      <w:lvlText w:val="%1."/>
      <w:lvlJc w:val="start"/>
      <w:pPr>
        <w:tabs>
          <w:tab w:val="num" w:pos="360"/>
        </w:tabs>
        <w:ind w:start="360" w:hanging="360"/>
      </w:pPr>
      <w:rPr>
        <w:u w:val="single"/>
        <w:b/>
      </w:rPr>
    </w:lvl>
  </w:abstractNum>
  <w:abstractNum w:abstractNumId="3">
    <w:lvl w:ilvl="0">
      <w:start w:val="1"/>
      <w:numFmt w:val="lowerLetter"/>
      <w:lvlText w:val="(%1) "/>
      <w:lvlJc w:val="start"/>
      <w:pPr>
        <w:tabs>
          <w:tab w:val="num" w:pos="360"/>
        </w:tabs>
        <w:ind w:start="1080" w:hanging="360"/>
      </w:pPr>
      <w:rPr>
        <w:sz w:val="16"/>
        <w:i w:val="false"/>
        <w:u w:val="none"/>
        <w:b w:val="false"/>
        <w:rFonts w:ascii="CG Times" w:hAnsi="CG Times" w:cs="CG Times"/>
      </w:rPr>
    </w:lvl>
  </w:abstractNum>
  <w:abstractNum w:abstractNumId="4">
    <w:lvl w:ilvl="0">
      <w:start w:val="3"/>
      <w:numFmt w:val="lowerLetter"/>
      <w:lvlText w:val="(%1) "/>
      <w:lvlJc w:val="start"/>
      <w:pPr>
        <w:tabs>
          <w:tab w:val="num" w:pos="360"/>
        </w:tabs>
        <w:ind w:start="1080" w:hanging="360"/>
      </w:pPr>
      <w:rPr>
        <w:sz w:val="16"/>
        <w:i w:val="false"/>
        <w:u w:val="none"/>
        <w:b w:val="false"/>
        <w:rFonts w:ascii="CG Times" w:hAnsi="CG Times" w:cs="CG Times"/>
      </w:rPr>
    </w:lvl>
  </w:abstractNum>
  <w:abstractNum w:abstractNumId="5">
    <w:lvl w:ilvl="0">
      <w:start w:val="2"/>
      <w:numFmt w:val="lowerLetter"/>
      <w:lvlText w:val="(%1) "/>
      <w:lvlJc w:val="start"/>
      <w:pPr>
        <w:tabs>
          <w:tab w:val="num" w:pos="360"/>
        </w:tabs>
        <w:ind w:start="1080" w:hanging="360"/>
      </w:pPr>
      <w:rPr>
        <w:sz w:val="16"/>
        <w:i w:val="false"/>
        <w:u w:val="none"/>
        <w:b w:val="false"/>
        <w:rFonts w:ascii="CG Times" w:hAnsi="CG Times" w:cs="CG Times"/>
      </w:rPr>
    </w:lvl>
  </w:abstractNum>
  <w:abstractNum w:abstractNumId="6">
    <w:lvl w:ilvl="0">
      <w:start w:val="19"/>
      <w:numFmt w:val="decimal"/>
      <w:lvlText w:val="%1."/>
      <w:lvlJc w:val="start"/>
      <w:pPr>
        <w:tabs>
          <w:tab w:val="num" w:pos="360"/>
        </w:tabs>
        <w:ind w:start="360" w:hanging="360"/>
      </w:pPr>
      <w:rPr>
        <w:b/>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tabs>
        <w:tab w:val="clear" w:pos="720"/>
        <w:tab w:val="center" w:pos="4680" w:leader="none"/>
      </w:tabs>
      <w:suppressAutoHyphens w:val="true"/>
      <w:spacing w:lineRule="auto" w:line="182"/>
      <w:jc w:val="center"/>
      <w:outlineLvl w:val="0"/>
    </w:pPr>
    <w:rPr>
      <w:rFonts w:ascii="CG Times" w:hAnsi="CG Times" w:cs="CG Times"/>
      <w:b/>
      <w:sz w:val="17"/>
      <w:u w:val="single"/>
    </w:rPr>
  </w:style>
  <w:style w:type="paragraph" w:styleId="Heading2">
    <w:name w:val="heading 2"/>
    <w:basedOn w:val="Normal"/>
    <w:next w:val="Normal"/>
    <w:qFormat/>
    <w:pPr>
      <w:keepNext w:val="true"/>
      <w:numPr>
        <w:ilvl w:val="1"/>
        <w:numId w:val="1"/>
      </w:numPr>
      <w:jc w:val="end"/>
      <w:outlineLvl w:val="1"/>
    </w:pPr>
    <w:rPr>
      <w:rFonts w:ascii="Arial" w:hAnsi="Arial" w:cs="Arial"/>
      <w:b/>
      <w:sz w:val="17"/>
      <w:lang w:eastAsia="en-US"/>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paragraph" w:styleId="Heading4">
    <w:name w:val="heading 4"/>
    <w:basedOn w:val="Normal"/>
    <w:next w:val="Normal"/>
    <w:qFormat/>
    <w:pPr>
      <w:keepNext w:val="true"/>
      <w:numPr>
        <w:ilvl w:val="3"/>
        <w:numId w:val="1"/>
      </w:numPr>
      <w:outlineLvl w:val="3"/>
    </w:pPr>
    <w:rPr>
      <w:i/>
    </w:rPr>
  </w:style>
  <w:style w:type="paragraph" w:styleId="Heading5">
    <w:name w:val="heading 5"/>
    <w:basedOn w:val="Normal"/>
    <w:next w:val="Normal"/>
    <w:qFormat/>
    <w:pPr>
      <w:keepNext w:val="true"/>
      <w:numPr>
        <w:ilvl w:val="4"/>
        <w:numId w:val="1"/>
      </w:numPr>
      <w:tabs>
        <w:tab w:val="clear" w:pos="720"/>
        <w:tab w:val="left" w:pos="972" w:leader="none"/>
        <w:tab w:val="left" w:pos="2772" w:leader="none"/>
        <w:tab w:val="left" w:pos="4392" w:leader="none"/>
      </w:tabs>
      <w:ind w:hanging="1890" w:start="2772" w:end="0"/>
      <w:jc w:val="both"/>
      <w:outlineLvl w:val="4"/>
    </w:pPr>
    <w:rPr>
      <w:i/>
      <w:sz w:val="20"/>
    </w:rPr>
  </w:style>
  <w:style w:type="paragraph" w:styleId="Heading6">
    <w:name w:val="heading 6"/>
    <w:basedOn w:val="Normal"/>
    <w:next w:val="Normal"/>
    <w:qFormat/>
    <w:pPr>
      <w:keepNext w:val="true"/>
      <w:numPr>
        <w:ilvl w:val="5"/>
        <w:numId w:val="1"/>
      </w:numPr>
      <w:outlineLvl w:val="5"/>
    </w:pPr>
    <w:rPr>
      <w:rFonts w:ascii="Arial" w:hAnsi="Arial" w:cs="Arial"/>
      <w:b/>
      <w:sz w:val="19"/>
    </w:rPr>
  </w:style>
  <w:style w:type="character" w:styleId="WW8Num1z0">
    <w:name w:val="WW8Num1z0"/>
    <w:qFormat/>
    <w:rPr>
      <w:b/>
      <w:u w:val="single"/>
    </w:rPr>
  </w:style>
  <w:style w:type="character" w:styleId="WW8Num3z0">
    <w:name w:val="WW8Num3z0"/>
    <w:qFormat/>
    <w:rPr>
      <w:rFonts w:ascii="CG Times" w:hAnsi="CG Times" w:cs="CG Times"/>
      <w:b w:val="false"/>
      <w:i w:val="false"/>
      <w:sz w:val="16"/>
      <w:u w:val="none"/>
    </w:rPr>
  </w:style>
  <w:style w:type="character" w:styleId="WW8Num4z0">
    <w:name w:val="WW8Num4z0"/>
    <w:qFormat/>
    <w:rPr>
      <w:b/>
      <w:u w:val="single"/>
    </w:rPr>
  </w:style>
  <w:style w:type="character" w:styleId="WW8Num5z0">
    <w:name w:val="WW8Num5z0"/>
    <w:qFormat/>
    <w:rPr>
      <w:rFonts w:ascii="Century Schoolbook" w:hAnsi="Century Schoolbook" w:cs="Century Schoolbook"/>
      <w:b/>
      <w:i w:val="false"/>
      <w:sz w:val="17"/>
    </w:rPr>
  </w:style>
  <w:style w:type="character" w:styleId="WW8Num6z0">
    <w:name w:val="WW8Num6z0"/>
    <w:qFormat/>
    <w:rPr/>
  </w:style>
  <w:style w:type="character" w:styleId="WW8Num8z0">
    <w:name w:val="WW8Num8z0"/>
    <w:qFormat/>
    <w:rPr>
      <w:rFonts w:ascii="CG Times" w:hAnsi="CG Times" w:cs="CG Times"/>
      <w:b/>
      <w:i w:val="false"/>
      <w:sz w:val="16"/>
      <w:u w:val="none"/>
    </w:rPr>
  </w:style>
  <w:style w:type="character" w:styleId="WW8Num9z0">
    <w:name w:val="WW8Num9z0"/>
    <w:qFormat/>
    <w:rPr>
      <w:rFonts w:ascii="CG Times" w:hAnsi="CG Times" w:cs="CG Times"/>
      <w:b w:val="false"/>
      <w:i w:val="false"/>
      <w:sz w:val="16"/>
      <w:u w:val="none"/>
    </w:rPr>
  </w:style>
  <w:style w:type="character" w:styleId="WW8Num12z0">
    <w:name w:val="WW8Num12z0"/>
    <w:qFormat/>
    <w:rPr>
      <w:rFonts w:ascii="CG Times" w:hAnsi="CG Times" w:cs="CG Times"/>
      <w:b w:val="false"/>
      <w:i w:val="false"/>
      <w:sz w:val="16"/>
      <w:u w:val="none"/>
    </w:rPr>
  </w:style>
  <w:style w:type="character" w:styleId="WW8Num13z0">
    <w:name w:val="WW8Num13z0"/>
    <w:qFormat/>
    <w:rPr/>
  </w:style>
  <w:style w:type="character" w:styleId="WW8Num14z0">
    <w:name w:val="WW8Num14z0"/>
    <w:qFormat/>
    <w:rPr>
      <w:b/>
    </w:rPr>
  </w:style>
  <w:style w:type="character" w:styleId="WW8NumSt8z0">
    <w:name w:val="WW8NumSt8z0"/>
    <w:qFormat/>
    <w:rPr>
      <w:rFonts w:ascii="CG Times" w:hAnsi="CG Times" w:cs="CG Times"/>
      <w:b/>
      <w:i w:val="false"/>
      <w:sz w:val="16"/>
      <w:u w:val="none"/>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smallCaps/>
    </w:rPr>
  </w:style>
  <w:style w:type="paragraph" w:styleId="BodyText">
    <w:name w:val="Body Text"/>
    <w:basedOn w:val="Normal"/>
    <w:pPr>
      <w:spacing w:before="120" w:after="0"/>
      <w:jc w:val="both"/>
    </w:pPr>
    <w:rPr>
      <w:rFonts w:ascii="Arial" w:hAnsi="Arial" w:cs="Arial"/>
      <w:sz w:val="17"/>
    </w:rPr>
  </w:style>
  <w:style w:type="paragraph" w:styleId="List">
    <w:name w:val="List"/>
    <w:basedOn w:val="BodyText"/>
    <w:pPr/>
    <w:rPr>
      <w:rFonts w:cs="NotoSans NF"/>
    </w:rPr>
  </w:style>
  <w:style w:type="paragraph" w:styleId="Caption">
    <w:name w:val="caption"/>
    <w:basedOn w:val="Normal"/>
    <w:next w:val="Normal"/>
    <w:qFormat/>
    <w:pPr/>
    <w:rPr>
      <w:rFonts w:ascii="Arial" w:hAnsi="Arial" w:cs="Arial"/>
      <w:b/>
      <w:sz w:val="17"/>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paragraph" w:styleId="BodyTextIndent">
    <w:name w:val="Body Text Indent"/>
    <w:basedOn w:val="Normal"/>
    <w:pPr/>
    <w:rPr>
      <w:rFonts w:ascii="Arial" w:hAnsi="Arial" w:cs="Arial"/>
      <w:b/>
      <w:sz w:val="17"/>
      <w:lang w:eastAsia="en-US"/>
    </w:rPr>
  </w:style>
  <w:style w:type="paragraph" w:styleId="BodyText2">
    <w:name w:val="Body Text 2"/>
    <w:basedOn w:val="Normal"/>
    <w:qFormat/>
    <w:pPr>
      <w:ind w:hanging="0" w:start="0" w:end="1872"/>
      <w:jc w:val="both"/>
    </w:pPr>
    <w:rPr>
      <w:rFonts w:ascii="Arial" w:hAnsi="Arial" w:cs="Arial"/>
      <w:sz w:val="17"/>
    </w:rPr>
  </w:style>
  <w:style w:type="paragraph" w:styleId="BodyTextIndent2">
    <w:name w:val="Body Text Indent 2"/>
    <w:basedOn w:val="Normal"/>
    <w:qFormat/>
    <w:pPr>
      <w:spacing w:lineRule="auto" w:line="185" w:before="0" w:after="60"/>
      <w:ind w:firstLine="720" w:start="0" w:end="0"/>
      <w:jc w:val="both"/>
    </w:pPr>
    <w:rPr>
      <w:rFonts w:ascii="CG Times" w:hAnsi="CG Times" w:cs="CG Times"/>
      <w:sz w:val="16"/>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1999-08-04T21:24:00Z</dcterms:created>
  <dc:creator>ECT</dc:creator>
  <dc:description/>
  <dc:language>en-CA</dc:language>
  <cp:lastModifiedBy>mtaylo1</cp:lastModifiedBy>
  <cp:lastPrinted>1999-07-30T15:49:00Z</cp:lastPrinted>
  <dcterms:modified xsi:type="dcterms:W3CDTF">1999-08-04T21:24:00Z</dcterms:modified>
  <cp:revision>2</cp:revision>
  <dc:subject>Arizona Public Service Company</dc:subject>
  <dc:title>EV0425.1</dc:title>
</cp:coreProperties>
</file>