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Caption"/>
        <w:rPr>
          <w:highlight w:val="yellow"/>
        </w:rPr>
      </w:pPr>
      <w:r>
        <w:rPr>
          <w:highlight w:val="yellow"/>
        </w:rPr>
        <w:t>Draft</w:t>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April __, 2001</w:t>
      </w:r>
    </w:p>
    <w:p>
      <w:pPr>
        <w:pStyle w:val="Normal"/>
        <w:rPr>
          <w:sz w:val="22"/>
        </w:rPr>
      </w:pPr>
      <w:r>
        <w:rPr>
          <w:sz w:val="22"/>
        </w:rPr>
        <w:t>To:</w:t>
        <w:tab/>
        <w:tab/>
        <w:tab/>
        <w:tab/>
        <w:t>Consolidated Edison Company Of New York, Inc. (“Counterparty”)</w:t>
      </w:r>
    </w:p>
    <w:p>
      <w:pPr>
        <w:pStyle w:val="Normal"/>
        <w:rPr>
          <w:sz w:val="22"/>
        </w:rPr>
      </w:pPr>
      <w:r>
        <w:rPr>
          <w:sz w:val="22"/>
        </w:rPr>
        <w:t>Attention:</w:t>
        <w:tab/>
        <w:tab/>
        <w:tab/>
        <w:t>Michael Forte</w:t>
      </w:r>
    </w:p>
    <w:p>
      <w:pPr>
        <w:pStyle w:val="Normal"/>
        <w:rPr>
          <w:sz w:val="22"/>
        </w:rPr>
      </w:pPr>
      <w:r>
        <w:rPr>
          <w:sz w:val="22"/>
        </w:rPr>
        <w:t>Fax No.:</w:t>
        <w:tab/>
        <w:tab/>
        <w:tab/>
        <w:t>(917) 534-4042</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BodyTextIndent"/>
        <w:rPr/>
      </w:pPr>
      <w:r>
        <w:rPr/>
        <w:t>Re:</w:t>
        <w:tab/>
        <w:t xml:space="preserve">Swap: </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pPr>
      <w:r>
        <w:rPr/>
        <w:t>General Terms:</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April __,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r>
          </w:p>
        </w:tc>
        <w:tc>
          <w:tcPr>
            <w:tcW w:w="6102" w:type="dxa"/>
            <w:tcBorders/>
          </w:tcPr>
          <w:p>
            <w:pPr>
              <w:pStyle w:val="Normal"/>
              <w:jc w:val="both"/>
              <w:rPr>
                <w:sz w:val="22"/>
              </w:rPr>
            </w:pPr>
            <w:r>
              <w:rPr>
                <w:sz w:val="22"/>
              </w:rPr>
              <w:t>May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October 31,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May 1, 2001 and ending on October 31,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Payments:</w:t>
            </w:r>
          </w:p>
        </w:tc>
        <w:tc>
          <w:tcPr>
            <w:tcW w:w="6102" w:type="dxa"/>
            <w:tcBorders/>
          </w:tcPr>
          <w:p>
            <w:pPr>
              <w:pStyle w:val="Normal"/>
              <w:jc w:val="both"/>
              <w:rPr>
                <w:sz w:val="22"/>
              </w:rPr>
            </w:pPr>
            <w:r>
              <w:rPr>
                <w:color w:val="000000"/>
                <w:sz w:val="22"/>
                <w:lang w:eastAsia="en-US"/>
              </w:rPr>
              <w:t>Calculation of the Fixed Amount and the Floating Amount and payment responsibilities shall be in accordance with Section 2(a) of Annex A.</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color w:val="000000"/>
                <w:sz w:val="22"/>
                <w:lang w:eastAsia="en-US"/>
              </w:rPr>
            </w:pPr>
            <w:r>
              <w:rPr>
                <w:color w:val="000000"/>
                <w:sz w:val="22"/>
                <w:lang w:eastAsia="en-US"/>
              </w:rPr>
            </w:r>
          </w:p>
        </w:tc>
      </w:tr>
      <w:tr>
        <w:trPr/>
        <w:tc>
          <w:tcPr>
            <w:tcW w:w="4338" w:type="dxa"/>
            <w:tcBorders/>
          </w:tcPr>
          <w:p>
            <w:pPr>
              <w:pStyle w:val="Normal"/>
              <w:ind w:start="720" w:end="0"/>
              <w:rPr>
                <w:sz w:val="22"/>
              </w:rPr>
            </w:pPr>
            <w:r>
              <w:rPr>
                <w:sz w:val="22"/>
              </w:rPr>
              <w:t>Notional Quantity Per Determination Period:</w:t>
            </w:r>
          </w:p>
        </w:tc>
        <w:tc>
          <w:tcPr>
            <w:tcW w:w="6102" w:type="dxa"/>
            <w:tcBorders/>
          </w:tcPr>
          <w:p>
            <w:pPr>
              <w:pStyle w:val="Normal"/>
              <w:jc w:val="both"/>
              <w:rPr>
                <w:sz w:val="22"/>
              </w:rPr>
            </w:pPr>
            <w:r>
              <w:rPr>
                <w:sz w:val="22"/>
              </w:rPr>
              <w:t>The Notional Quantity Per Determination Period is the number of On-Peak Hours in the Determination Period multiplied by the number of MW set forth below for such Determination Period:</w:t>
            </w:r>
          </w:p>
          <w:p>
            <w:pPr>
              <w:pStyle w:val="Normal"/>
              <w:jc w:val="both"/>
              <w:rPr>
                <w:sz w:val="22"/>
              </w:rPr>
            </w:pPr>
            <w:r>
              <w:rPr>
                <w:sz w:val="22"/>
              </w:rPr>
            </w:r>
          </w:p>
          <w:p>
            <w:pPr>
              <w:pStyle w:val="Normal"/>
              <w:ind w:hanging="18" w:end="0"/>
              <w:rPr>
                <w:sz w:val="22"/>
              </w:rPr>
            </w:pPr>
            <w:r>
              <w:rPr>
                <w:sz w:val="22"/>
              </w:rPr>
              <w:t>May 2001                        ___MW</w:t>
            </w:r>
          </w:p>
          <w:p>
            <w:pPr>
              <w:pStyle w:val="Normal"/>
              <w:rPr>
                <w:sz w:val="22"/>
              </w:rPr>
            </w:pPr>
            <w:r>
              <w:rPr>
                <w:sz w:val="22"/>
              </w:rPr>
              <w:t>June, 2001                       ___MW</w:t>
            </w:r>
          </w:p>
          <w:p>
            <w:pPr>
              <w:pStyle w:val="Normal"/>
              <w:rPr>
                <w:sz w:val="22"/>
              </w:rPr>
            </w:pPr>
            <w:r>
              <w:rPr>
                <w:sz w:val="22"/>
              </w:rPr>
              <w:t>July, 2001                        ___MW</w:t>
            </w:r>
          </w:p>
          <w:p>
            <w:pPr>
              <w:pStyle w:val="Normal"/>
              <w:rPr>
                <w:sz w:val="22"/>
              </w:rPr>
            </w:pPr>
            <w:r>
              <w:rPr>
                <w:sz w:val="22"/>
              </w:rPr>
              <w:t>August 2001                     ___MW</w:t>
            </w:r>
          </w:p>
          <w:p>
            <w:pPr>
              <w:pStyle w:val="Normal"/>
              <w:rPr>
                <w:sz w:val="22"/>
              </w:rPr>
            </w:pPr>
            <w:r>
              <w:rPr>
                <w:sz w:val="22"/>
              </w:rPr>
              <w:t>September, 2001              ___MW</w:t>
            </w:r>
          </w:p>
          <w:p>
            <w:pPr>
              <w:pStyle w:val="Normal"/>
              <w:jc w:val="both"/>
              <w:rPr>
                <w:color w:val="000000"/>
                <w:sz w:val="22"/>
                <w:lang w:eastAsia="en-US"/>
              </w:rPr>
            </w:pPr>
            <w:r>
              <w:rPr>
                <w:sz w:val="22"/>
              </w:rPr>
              <w:t>October, 2001                  ___MW</w:t>
            </w:r>
          </w:p>
        </w:tc>
      </w:tr>
    </w:tbl>
    <w:p>
      <w:pPr>
        <w:pStyle w:val="Normal"/>
        <w:rPr/>
      </w:pPr>
      <w:r>
        <w:rPr/>
      </w:r>
    </w:p>
    <w:p>
      <w:pPr>
        <w:pStyle w:val="Normal"/>
        <w:rPr/>
      </w:pPr>
      <w:r>
        <w:rPr/>
      </w:r>
    </w:p>
    <w:p>
      <w:pPr>
        <w:pStyle w:val="Normal"/>
        <w:rPr>
          <w:b/>
          <w:sz w:val="22"/>
        </w:rPr>
      </w:pPr>
      <w:r>
        <w:rPr>
          <w:b/>
          <w:sz w:val="22"/>
        </w:rPr>
        <w:t>Fixed Amount Details:</w:t>
      </w:r>
    </w:p>
    <w:p>
      <w:pPr>
        <w:pStyle w:val="Normal"/>
        <w:rPr>
          <w:b/>
          <w:sz w:val="22"/>
        </w:rPr>
      </w:pPr>
      <w:r>
        <w:rPr>
          <w:b/>
          <w:sz w:val="22"/>
        </w:rPr>
      </w:r>
    </w:p>
    <w:p>
      <w:pPr>
        <w:pStyle w:val="Normal"/>
        <w:tabs>
          <w:tab w:val="left" w:pos="720" w:leader="none"/>
          <w:tab w:val="left" w:pos="3510" w:leader="none"/>
        </w:tabs>
        <w:jc w:val="both"/>
        <w:rPr>
          <w:sz w:val="22"/>
        </w:rPr>
      </w:pPr>
      <w:r>
        <w:rPr>
          <w:sz w:val="22"/>
        </w:rPr>
        <w:tab/>
        <w:t>Fixed Price Payor:</w:t>
        <w:tab/>
        <w:t>Counterparty</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ind w:start="720" w:end="0"/>
              <w:rPr>
                <w:sz w:val="22"/>
              </w:rPr>
            </w:pPr>
            <w:r>
              <w:rPr>
                <w:sz w:val="22"/>
              </w:rPr>
              <w:t>Fixed Price:</w:t>
            </w:r>
          </w:p>
        </w:tc>
        <w:tc>
          <w:tcPr>
            <w:tcW w:w="6912" w:type="dxa"/>
            <w:tcBorders/>
          </w:tcPr>
          <w:p>
            <w:pPr>
              <w:pStyle w:val="Normal"/>
              <w:jc w:val="both"/>
              <w:rPr>
                <w:sz w:val="22"/>
              </w:rPr>
            </w:pPr>
            <w:r>
              <w:rPr>
                <w:sz w:val="22"/>
                <w:u w:val="single"/>
              </w:rPr>
              <w:t>Determination Period              Fixed Price</w:t>
            </w:r>
          </w:p>
          <w:p>
            <w:pPr>
              <w:pStyle w:val="Normal"/>
              <w:jc w:val="both"/>
              <w:rPr>
                <w:sz w:val="22"/>
              </w:rPr>
            </w:pPr>
            <w:r>
              <w:rPr>
                <w:sz w:val="22"/>
              </w:rPr>
              <w:t>May 2001                             $  ____/MWh</w:t>
            </w:r>
          </w:p>
          <w:p>
            <w:pPr>
              <w:pStyle w:val="Normal"/>
              <w:jc w:val="both"/>
              <w:rPr>
                <w:sz w:val="22"/>
              </w:rPr>
            </w:pPr>
            <w:r>
              <w:rPr>
                <w:sz w:val="22"/>
              </w:rPr>
              <w:t>June 2001                             $  ____/MWh</w:t>
            </w:r>
          </w:p>
          <w:p>
            <w:pPr>
              <w:pStyle w:val="Normal"/>
              <w:jc w:val="both"/>
              <w:rPr>
                <w:sz w:val="22"/>
              </w:rPr>
            </w:pPr>
            <w:r>
              <w:rPr>
                <w:sz w:val="22"/>
              </w:rPr>
              <w:t>July 2001                              $  ____/MWh</w:t>
            </w:r>
          </w:p>
          <w:p>
            <w:pPr>
              <w:pStyle w:val="Normal"/>
              <w:jc w:val="both"/>
              <w:rPr>
                <w:sz w:val="22"/>
              </w:rPr>
            </w:pPr>
            <w:r>
              <w:rPr>
                <w:sz w:val="22"/>
              </w:rPr>
              <w:t>August 2001                         $  ____/MWh</w:t>
            </w:r>
          </w:p>
          <w:p>
            <w:pPr>
              <w:pStyle w:val="Normal"/>
              <w:jc w:val="both"/>
              <w:rPr>
                <w:sz w:val="22"/>
              </w:rPr>
            </w:pPr>
            <w:r>
              <w:rPr>
                <w:sz w:val="22"/>
              </w:rPr>
              <w:t>September 2001                    $  ____/MWh</w:t>
            </w:r>
          </w:p>
          <w:p>
            <w:pPr>
              <w:pStyle w:val="Normal"/>
              <w:jc w:val="both"/>
              <w:rPr>
                <w:sz w:val="22"/>
              </w:rPr>
            </w:pPr>
            <w:r>
              <w:rPr>
                <w:sz w:val="22"/>
              </w:rPr>
              <w:t>October 2001                        $  ____/MWh</w:t>
            </w:r>
          </w:p>
          <w:p>
            <w:pPr>
              <w:pStyle w:val="Normal"/>
              <w:jc w:val="both"/>
              <w:rPr>
                <w:sz w:val="22"/>
              </w:rPr>
            </w:pPr>
            <w:r>
              <w:rPr>
                <w:sz w:val="22"/>
              </w:rPr>
            </w:r>
          </w:p>
        </w:tc>
      </w:tr>
      <w:tr>
        <w:trPr/>
        <w:tc>
          <w:tcPr>
            <w:tcW w:w="3528" w:type="dxa"/>
            <w:tcBorders/>
          </w:tcPr>
          <w:p>
            <w:pPr>
              <w:pStyle w:val="Normal"/>
              <w:snapToGrid w:val="false"/>
              <w:ind w:start="720" w:end="0"/>
              <w:rPr>
                <w:sz w:val="22"/>
              </w:rPr>
            </w:pPr>
            <w:r>
              <w:rPr>
                <w:sz w:val="22"/>
              </w:rPr>
            </w:r>
          </w:p>
        </w:tc>
        <w:tc>
          <w:tcPr>
            <w:tcW w:w="6912" w:type="dxa"/>
            <w:tcBorders/>
          </w:tcPr>
          <w:p>
            <w:pPr>
              <w:pStyle w:val="Normal"/>
              <w:snapToGrid w:val="false"/>
              <w:jc w:val="both"/>
              <w:rPr>
                <w:sz w:val="22"/>
              </w:rPr>
            </w:pPr>
            <w:r>
              <w:rPr>
                <w:sz w:val="22"/>
              </w:rPr>
            </w:r>
          </w:p>
        </w:tc>
      </w:tr>
    </w:tbl>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 xml:space="preserve">            ENA</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ind w:start="720" w:end="0"/>
              <w:rPr>
                <w:sz w:val="22"/>
              </w:rPr>
            </w:pPr>
            <w:r>
              <w:rPr>
                <w:sz w:val="22"/>
              </w:rPr>
              <w:t>Floating Price:</w:t>
            </w:r>
          </w:p>
        </w:tc>
        <w:tc>
          <w:tcPr>
            <w:tcW w:w="691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Determination Period on the NYISO’s official web site currently located at http://mis.nyiso.com/public/index.html, or any successor thereto, under the headings “Day Ahead Market LBMP - Zonal; Zonal Prices; N.Y.C. (61761)," commonly referred to as Zone J, for “On-Peak Hours” for the applicable Determination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3528" w:type="dxa"/>
            <w:tcBorders/>
          </w:tcPr>
          <w:p>
            <w:pPr>
              <w:pStyle w:val="Normal"/>
              <w:snapToGrid w:val="false"/>
              <w:rPr>
                <w:sz w:val="22"/>
              </w:rPr>
            </w:pPr>
            <w:r>
              <w:rPr>
                <w:sz w:val="22"/>
              </w:rPr>
            </w:r>
          </w:p>
        </w:tc>
        <w:tc>
          <w:tcPr>
            <w:tcW w:w="6912" w:type="dxa"/>
            <w:tcBorders/>
          </w:tcPr>
          <w:p>
            <w:pPr>
              <w:pStyle w:val="Normal"/>
              <w:snapToGrid w:val="false"/>
              <w:jc w:val="both"/>
              <w:rPr>
                <w:sz w:val="22"/>
              </w:rPr>
            </w:pPr>
            <w:r>
              <w:rPr>
                <w:sz w:val="22"/>
              </w:rPr>
            </w:r>
          </w:p>
        </w:tc>
      </w:tr>
      <w:tr>
        <w:trPr/>
        <w:tc>
          <w:tcPr>
            <w:tcW w:w="3528" w:type="dxa"/>
            <w:tcBorders/>
          </w:tcPr>
          <w:p>
            <w:pPr>
              <w:pStyle w:val="Normal"/>
              <w:rPr>
                <w:sz w:val="22"/>
              </w:rPr>
            </w:pPr>
            <w:r>
              <w:rPr>
                <w:b/>
                <w:sz w:val="22"/>
              </w:rPr>
              <w:t>Contractual Currency:</w:t>
            </w:r>
          </w:p>
        </w:tc>
        <w:tc>
          <w:tcPr>
            <w:tcW w:w="691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 xml:space="preserve">            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3528"/>
        <w:gridCol w:w="6912"/>
      </w:tblGrid>
      <w:tr>
        <w:trPr/>
        <w:tc>
          <w:tcPr>
            <w:tcW w:w="3528" w:type="dxa"/>
            <w:tcBorders/>
          </w:tcPr>
          <w:p>
            <w:pPr>
              <w:pStyle w:val="Normal"/>
              <w:rPr>
                <w:b/>
                <w:sz w:val="22"/>
              </w:rPr>
            </w:pPr>
            <w:r>
              <w:rPr>
                <w:b/>
                <w:sz w:val="22"/>
              </w:rPr>
              <w:t>General Terms and Conditions</w:t>
            </w:r>
          </w:p>
          <w:p>
            <w:pPr>
              <w:pStyle w:val="Normal"/>
              <w:rPr>
                <w:sz w:val="22"/>
              </w:rPr>
            </w:pPr>
            <w:r>
              <w:rPr>
                <w:b/>
                <w:sz w:val="22"/>
              </w:rPr>
              <w:t>of Confirmations:</w:t>
            </w:r>
          </w:p>
        </w:tc>
        <w:tc>
          <w:tcPr>
            <w:tcW w:w="6912" w:type="dxa"/>
            <w:tcBorders/>
          </w:tcPr>
          <w:p>
            <w:pPr>
              <w:pStyle w:val="Normal"/>
              <w:snapToGrid w:val="false"/>
              <w:jc w:val="both"/>
              <w:rPr>
                <w:sz w:val="22"/>
              </w:rPr>
            </w:pPr>
            <w:r>
              <w:rPr>
                <w:sz w:val="22"/>
              </w:rPr>
            </w:r>
          </w:p>
          <w:p>
            <w:pPr>
              <w:pStyle w:val="Normal"/>
              <w:jc w:val="both"/>
              <w:rPr/>
            </w:pPr>
            <w:r>
              <w:rPr>
                <w:sz w:val="22"/>
              </w:rPr>
              <w:t>The General Terms and Conditions, Credit and other provisions of confirmation contained in Annex A, Annex B, Annex B-1, and Annex B-2</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t>Consolidated Edison Company Of New York,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January 26,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Bank of America, NA</w:t>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Bank ID # 1110-00001-2</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For Enron Power Marketing, Inc.</w:t>
            </w:r>
          </w:p>
        </w:tc>
      </w:tr>
      <w:tr>
        <w:trPr/>
        <w:tc>
          <w:tcPr>
            <w:tcW w:w="5508" w:type="dxa"/>
            <w:tcBorders/>
          </w:tcPr>
          <w:p>
            <w:pPr>
              <w:pStyle w:val="Normal"/>
              <w:rPr>
                <w:sz w:val="22"/>
              </w:rPr>
            </w:pPr>
            <w:r>
              <w:rPr>
                <w:sz w:val="22"/>
              </w:rPr>
              <w:t>Fax: (713) 646-2443</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t xml:space="preserve"> </w:t>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4 Irving Place</w:t>
            </w:r>
          </w:p>
        </w:tc>
        <w:tc>
          <w:tcPr>
            <w:tcW w:w="5220" w:type="dxa"/>
            <w:tcBorders/>
          </w:tcPr>
          <w:p>
            <w:pPr>
              <w:pStyle w:val="Normal"/>
              <w:rPr>
                <w:sz w:val="22"/>
              </w:rPr>
            </w:pPr>
            <w:r>
              <w:rPr>
                <w:sz w:val="22"/>
              </w:rPr>
              <w:t>Chase Manhattan Bank</w:t>
            </w:r>
          </w:p>
        </w:tc>
      </w:tr>
      <w:tr>
        <w:trPr/>
        <w:tc>
          <w:tcPr>
            <w:tcW w:w="5220" w:type="dxa"/>
            <w:tcBorders/>
          </w:tcPr>
          <w:p>
            <w:pPr>
              <w:pStyle w:val="Normal"/>
              <w:rPr>
                <w:sz w:val="22"/>
              </w:rPr>
            </w:pPr>
            <w:r>
              <w:rPr>
                <w:sz w:val="22"/>
              </w:rPr>
              <w:t xml:space="preserve">                </w:t>
            </w:r>
            <w:r>
              <w:rPr>
                <w:sz w:val="22"/>
              </w:rPr>
              <w:t>New York, New York</w:t>
            </w:r>
          </w:p>
        </w:tc>
        <w:tc>
          <w:tcPr>
            <w:tcW w:w="5220" w:type="dxa"/>
            <w:tcBorders/>
          </w:tcPr>
          <w:p>
            <w:pPr>
              <w:pStyle w:val="Normal"/>
              <w:rPr>
                <w:sz w:val="22"/>
              </w:rPr>
            </w:pPr>
            <w:r>
              <w:rPr>
                <w:sz w:val="22"/>
              </w:rPr>
              <w:t>ABA No. 021 000 021</w:t>
            </w:r>
          </w:p>
        </w:tc>
      </w:tr>
      <w:tr>
        <w:trPr/>
        <w:tc>
          <w:tcPr>
            <w:tcW w:w="5220" w:type="dxa"/>
            <w:tcBorders/>
          </w:tcPr>
          <w:p>
            <w:pPr>
              <w:pStyle w:val="Normal"/>
              <w:snapToGrid w:val="false"/>
              <w:rPr>
                <w:sz w:val="22"/>
              </w:rPr>
            </w:pPr>
            <w:r>
              <w:rPr>
                <w:sz w:val="22"/>
              </w:rPr>
            </w:r>
          </w:p>
        </w:tc>
        <w:tc>
          <w:tcPr>
            <w:tcW w:w="5220" w:type="dxa"/>
            <w:tcBorders/>
          </w:tcPr>
          <w:p>
            <w:pPr>
              <w:pStyle w:val="Normal"/>
              <w:rPr/>
            </w:pPr>
            <w:r>
              <w:rPr>
                <w:sz w:val="22"/>
              </w:rPr>
              <w:t>For: Consolidated Edison Company of New York, Inc.</w:t>
            </w:r>
          </w:p>
        </w:tc>
      </w:tr>
      <w:tr>
        <w:trPr/>
        <w:tc>
          <w:tcPr>
            <w:tcW w:w="5220" w:type="dxa"/>
            <w:tcBorders/>
          </w:tcPr>
          <w:p>
            <w:pPr>
              <w:pStyle w:val="Normal"/>
              <w:rPr>
                <w:sz w:val="22"/>
              </w:rPr>
            </w:pPr>
            <w:r>
              <w:rPr>
                <w:sz w:val="22"/>
              </w:rPr>
              <w:t>Attention:  Chief Engineer</w:t>
            </w:r>
          </w:p>
        </w:tc>
        <w:tc>
          <w:tcPr>
            <w:tcW w:w="5220" w:type="dxa"/>
            <w:tcBorders/>
          </w:tcPr>
          <w:p>
            <w:pPr>
              <w:pStyle w:val="Normal"/>
              <w:rPr>
                <w:sz w:val="22"/>
              </w:rPr>
            </w:pPr>
            <w:r>
              <w:rPr>
                <w:sz w:val="22"/>
              </w:rPr>
              <w:t>Account No. 0009101264514</w:t>
            </w:r>
          </w:p>
        </w:tc>
      </w:tr>
      <w:tr>
        <w:trPr/>
        <w:tc>
          <w:tcPr>
            <w:tcW w:w="5220" w:type="dxa"/>
            <w:tcBorders/>
          </w:tcPr>
          <w:p>
            <w:pPr>
              <w:pStyle w:val="Normal"/>
              <w:rPr>
                <w:sz w:val="22"/>
              </w:rPr>
            </w:pPr>
            <w:r>
              <w:rPr>
                <w:sz w:val="22"/>
              </w:rPr>
              <w:t xml:space="preserve">                   </w:t>
            </w:r>
            <w:r>
              <w:rPr>
                <w:sz w:val="22"/>
              </w:rPr>
              <w:t>Energy Management</w:t>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 xml:space="preserve">                   </w:t>
            </w:r>
            <w:r>
              <w:rPr>
                <w:sz w:val="22"/>
              </w:rPr>
              <w:t>Room 1310-S</w:t>
            </w:r>
          </w:p>
        </w:tc>
        <w:tc>
          <w:tcPr>
            <w:tcW w:w="5220" w:type="dxa"/>
            <w:tcBorders/>
          </w:tcPr>
          <w:p>
            <w:pPr>
              <w:pStyle w:val="Normal"/>
              <w:rPr>
                <w:sz w:val="22"/>
              </w:rPr>
            </w:pPr>
            <w:r>
              <w:rPr>
                <w:sz w:val="22"/>
              </w:rPr>
              <w:t>Ref: Trade #</w:t>
            </w:r>
          </w:p>
        </w:tc>
      </w:tr>
      <w:tr>
        <w:trPr/>
        <w:tc>
          <w:tcPr>
            <w:tcW w:w="5220" w:type="dxa"/>
            <w:tcBorders/>
          </w:tcPr>
          <w:p>
            <w:pPr>
              <w:pStyle w:val="Normal"/>
              <w:rPr>
                <w:sz w:val="22"/>
              </w:rPr>
            </w:pPr>
            <w:r>
              <w:rPr>
                <w:sz w:val="22"/>
              </w:rPr>
              <w:t>Fax:            (917) 534-4042</w:t>
            </w:r>
          </w:p>
          <w:p>
            <w:pPr>
              <w:pStyle w:val="Normal"/>
              <w:rPr>
                <w:sz w:val="22"/>
              </w:rPr>
            </w:pPr>
            <w:r>
              <w:rPr>
                <w:sz w:val="22"/>
              </w:rPr>
              <w:t>Phone:         (212) 460-3537</w:t>
            </w:r>
          </w:p>
        </w:tc>
        <w:tc>
          <w:tcPr>
            <w:tcW w:w="5220" w:type="dxa"/>
            <w:tcBorders/>
          </w:tcPr>
          <w:p>
            <w:pPr>
              <w:pStyle w:val="Normal"/>
              <w:snapToGrid w:val="false"/>
              <w:rPr>
                <w:sz w:val="22"/>
              </w:rPr>
            </w:pPr>
            <w:r>
              <w:rPr>
                <w:sz w:val="22"/>
              </w:rPr>
            </w:r>
          </w:p>
        </w:tc>
      </w:tr>
    </w:tbl>
    <w:p>
      <w:pPr>
        <w:pStyle w:val="Normal"/>
        <w:ind w:end="-360"/>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4 Irving Place</w:t>
      </w:r>
    </w:p>
    <w:p>
      <w:pPr>
        <w:pStyle w:val="Normal"/>
        <w:rPr>
          <w:sz w:val="22"/>
        </w:rPr>
      </w:pPr>
      <w:r>
        <w:rPr>
          <w:sz w:val="22"/>
        </w:rPr>
        <w:t>Room 1810-S</w:t>
      </w:r>
    </w:p>
    <w:p>
      <w:pPr>
        <w:pStyle w:val="Normal"/>
        <w:rPr>
          <w:sz w:val="22"/>
        </w:rPr>
      </w:pPr>
      <w:r>
        <w:rPr>
          <w:sz w:val="22"/>
        </w:rPr>
        <w:t>New York, NY 10003</w:t>
      </w:r>
    </w:p>
    <w:p>
      <w:pPr>
        <w:pStyle w:val="Normal"/>
        <w:rPr>
          <w:sz w:val="22"/>
        </w:rPr>
      </w:pPr>
      <w:r>
        <w:rPr>
          <w:sz w:val="22"/>
        </w:rPr>
        <w:t>Attn.: General Counsel</w:t>
      </w:r>
    </w:p>
    <w:p>
      <w:pPr>
        <w:pStyle w:val="Normal"/>
        <w:rPr>
          <w:sz w:val="22"/>
        </w:rPr>
      </w:pPr>
      <w:r>
        <w:rPr>
          <w:sz w:val="22"/>
        </w:rPr>
        <w:t>Fax:  (212) 674-7329</w:t>
      </w:r>
    </w:p>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r>
  </w:p>
  <w:p>
    <w:pPr>
      <w:pStyle w:val="Header"/>
      <w:tabs>
        <w:tab w:val="clear" w:pos="8640"/>
        <w:tab w:val="center" w:pos="4320" w:leader="none"/>
        <w:tab w:val="right" w:pos="7200" w:leader="none"/>
      </w:tabs>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i/>
      <w:sz w:val="2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2880" w:leader="none"/>
      </w:tabs>
      <w:ind w:hanging="4680" w:start="4680"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2001-04-24T15:16:00Z</dcterms:created>
  <dc:creator>ECT</dc:creator>
  <dc:description/>
  <dc:language>en-CA</dc:language>
  <cp:lastModifiedBy>Brian E. Cray</cp:lastModifiedBy>
  <dcterms:modified xsi:type="dcterms:W3CDTF">2001-04-24T15:33:00Z</dcterms:modified>
  <cp:revision>3</cp:revision>
  <dc:subject/>
  <dc:title>514094.01</dc:title>
</cp:coreProperties>
</file>