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DRAFT OF 03/06/00</w:t>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___________________, a ______________ organized under the law of the State of __________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b/>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$______________ (or its equivalent in another currency</w:t>
      </w:r>
      <w:r>
        <w:rPr>
          <w:color w:val="000000"/>
          <w:sz w:val="22"/>
        </w:rPr>
        <w:t xml:space="preserve">); </w:t>
      </w:r>
      <w:r>
        <w:rPr>
          <w:color w:val="000000"/>
          <w:sz w:val="22"/>
          <w:u w:val="single"/>
        </w:rPr>
        <w:t>provided</w:t>
      </w:r>
      <w:r>
        <w:rPr>
          <w:color w:val="000000"/>
          <w:sz w:val="22"/>
        </w:rPr>
        <w:t xml:space="preserve">, </w:t>
      </w:r>
      <w:r>
        <w:rPr>
          <w:color w:val="000000"/>
          <w:sz w:val="22"/>
          <w:u w:val="single"/>
        </w:rPr>
        <w:t>that</w:t>
      </w:r>
      <w:r>
        <w:rPr>
          <w:color w:val="000000"/>
          <w:sz w:val="22"/>
        </w:rPr>
        <w:t xml:space="preserve">, such Threshold Amount shall apply individually and not collectively with respect to each entity set forth above notwithstanding anything to the contrary set forth in Section 5(a)(vi) of the Master Agreement. </w:t>
      </w:r>
      <w:r>
        <w:rPr>
          <w:b/>
          <w:color w:val="000000"/>
          <w:sz w:val="22"/>
        </w:rPr>
        <w:t>[WHAT WILL PARTY B’S THRESHOLD BE?]</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480" w:after="0"/>
        <w:jc w:val="both"/>
        <w:rPr>
          <w:b/>
          <w:sz w:val="22"/>
        </w:rPr>
      </w:pPr>
      <w:r>
        <w:rPr>
          <w:b/>
          <w:sz w:val="22"/>
        </w:rPr>
        <w:t>Part 2.  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spacing w:lineRule="exact" w:line="240" w:before="240" w:after="0"/>
        <w:ind w:start="900" w:end="0"/>
        <w:jc w:val="both"/>
        <w:rPr>
          <w:sz w:val="22"/>
        </w:rPr>
      </w:pPr>
      <w:r>
        <w:rPr>
          <w:sz w:val="22"/>
        </w:rPr>
        <w:t>Party B is a _____________ organized under the laws of the State of _____________.</w:t>
      </w:r>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firstLine="720" w:end="0"/>
        <w:jc w:val="both"/>
        <w:rPr>
          <w:sz w:val="22"/>
        </w:rPr>
      </w:pPr>
      <w:r>
        <w:rPr>
          <w:sz w:val="22"/>
        </w:rPr>
        <w:t>(a)</w:t>
        <w:tab/>
        <w:t>Tax forms, documents, or certificates to be delivered are:  None.</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  </w:t>
      </w:r>
      <w:r>
        <w:rPr>
          <w:b/>
          <w:sz w:val="22"/>
        </w:rPr>
        <w:t>[I’VE ASSUMED THAT ENRON CORP. WILL PROVIDE A GUARANTY.  WHAT IS THE CAP?]</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jc w:val="both"/>
        <w:rPr/>
      </w:pPr>
      <w:r>
        <w:rPr>
          <w:sz w:val="22"/>
        </w:rPr>
        <w:tab/>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before="480" w:after="0"/>
        <w:jc w:val="both"/>
        <w:rPr/>
      </w:pPr>
      <w:r>
        <w:rPr>
          <w:b/>
          <w:sz w:val="22"/>
        </w:rPr>
        <w:tab/>
      </w:r>
      <w:r>
        <w:rPr>
          <w:sz w:val="22"/>
        </w:rPr>
        <w:t>(n)</w:t>
      </w:r>
      <w:r>
        <w:rPr>
          <w:b/>
          <w:sz w:val="22"/>
        </w:rPr>
        <w:tab/>
        <w:t xml:space="preserve">Call Spread Transaction.  </w:t>
      </w:r>
      <w:r>
        <w:rPr>
          <w:sz w:val="22"/>
        </w:rPr>
        <w:t xml:space="preserve">Party A and Party B agree that the only Transaction between the parties that will be covered by this Agreement shall be the Transaction that is described on Exhibit B attached hereto (the “Call Spread Transaction”) and that the term Transaction as used in this Agreement and any Credit Support Document provided in connection with this Agreement shall refer to and mean the Call Spread Transaction only. </w:t>
        <w:tab/>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sz w:val="22"/>
        </w:rPr>
      </w:pPr>
      <w:r>
        <w:rPr>
          <w:sz w:val="22"/>
        </w:rPr>
      </w:r>
    </w:p>
    <w:p>
      <w:pPr>
        <w:pStyle w:val="Header"/>
        <w:widowControl/>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r>
              <w:rPr>
                <w:b/>
                <w:color w:val="000000"/>
                <w:sz w:val="22"/>
              </w:rPr>
              <w:t>ENRON NORTH AMERICA CORP.</w:t>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color w:val="000000"/>
                <w:sz w:val="22"/>
              </w:rPr>
            </w:pPr>
            <w:r>
              <w:rPr>
                <w:color w:val="000000"/>
                <w:sz w:val="22"/>
              </w:rPr>
              <w:t>[Counterparty]</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tabs>
          <w:tab w:val="clear" w:pos="720"/>
          <w:tab w:val="left" w:pos="2700" w:leader="none"/>
        </w:tabs>
        <w:spacing w:lineRule="exact" w:line="240"/>
        <w:ind w:hanging="3060" w:start="3060" w:end="0"/>
        <w:jc w:val="both"/>
        <w:rPr>
          <w:sz w:val="22"/>
        </w:rPr>
      </w:pPr>
      <w:r>
        <w:rPr>
          <w:sz w:val="22"/>
        </w:rPr>
        <w:t>EXHIBIT B</w:t>
        <w:tab/>
        <w:t>DECRIPTION OF CALL SPREAD TRANSACTION</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ab/>
        <w:tab/>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2000</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b/>
                <w:color w:val="000000"/>
                <w:sz w:val="22"/>
              </w:rPr>
            </w:pPr>
            <w:r>
              <w:rPr>
                <w:b/>
                <w:color w:val="000000"/>
                <w:sz w:val="22"/>
              </w:rPr>
              <w:t>__________________, a ______________ organized under the law of the State of _______________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720" w:end="0"/>
        <w:jc w:val="both"/>
        <w:rPr>
          <w:b/>
          <w:sz w:val="22"/>
        </w:rPr>
      </w:pPr>
      <w:r>
        <w:rPr>
          <w:b/>
          <w:sz w:val="22"/>
        </w:rPr>
      </w:r>
    </w:p>
    <w:p>
      <w:pPr>
        <w:pStyle w:val="Normal"/>
        <w:ind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keepNext w:val="true"/>
              <w:keepLines/>
              <w:snapToGrid w:val="false"/>
              <w:jc w:val="both"/>
              <w:rPr>
                <w:sz w:val="22"/>
              </w:rPr>
            </w:pPr>
            <w:r>
              <w:rPr>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Justified"/>
              <w:keepNext w:val="true"/>
              <w:keepLines/>
              <w:widowControl/>
              <w:spacing w:before="0" w:after="0"/>
              <w:rPr>
                <w:rFonts w:ascii="Times New Roman" w:hAnsi="Times New Roman" w:cs="Times New Roman"/>
              </w:rPr>
            </w:pPr>
            <w:r>
              <w:rPr>
                <w:rFonts w:cs="Times New Roman" w:ascii="Times New Roman" w:hAnsi="Times New Roman"/>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U.S. $______________ and with respect to Party B, U.S. $________; provided, however, that the Threshold for a party shall be zero upon the occurrence and during the continuance of a Material Adverse Change or an Event of Default or Potential Event of Default with respect to such party.  </w:t>
      </w:r>
      <w:r>
        <w:rPr>
          <w:b/>
          <w:color w:val="000000"/>
          <w:sz w:val="22"/>
        </w:rPr>
        <w:t>[WHAT WILL EACH PARTY’S THRESHOLD BE?]</w:t>
      </w:r>
    </w:p>
    <w:p>
      <w:pPr>
        <w:pStyle w:val="Normal"/>
        <w:ind w:start="720" w:end="0"/>
        <w:jc w:val="both"/>
        <w:rPr>
          <w:b/>
          <w:color w:val="000000"/>
          <w:sz w:val="22"/>
        </w:rPr>
      </w:pPr>
      <w:r>
        <w:rPr>
          <w:b/>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$1.</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$1.</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Normal"/>
        <w:ind w:start="1080" w:end="0"/>
        <w:jc w:val="both"/>
        <w:rPr>
          <w:sz w:val="22"/>
        </w:rPr>
      </w:pPr>
      <w:r>
        <w:rPr>
          <w:sz w:val="22"/>
        </w:rPr>
      </w:r>
    </w:p>
    <w:p>
      <w:pPr>
        <w:pStyle w:val="BodyTextIndent"/>
        <w:rPr/>
      </w:pPr>
      <w:r>
        <w:rPr/>
        <w:t>(2)  Posted Collateral may be held only in the following jurisdictions:  Any jurisdiction within the United States.</w:t>
      </w:r>
    </w:p>
    <w:p>
      <w:pPr>
        <w:pStyle w:val="Normal"/>
        <w:ind w:hanging="720" w:start="2160" w:end="0"/>
        <w:jc w:val="both"/>
        <w:rPr>
          <w:sz w:val="22"/>
        </w:rPr>
      </w:pPr>
      <w:r>
        <w:rPr>
          <w:sz w:val="22"/>
        </w:rPr>
      </w:r>
    </w:p>
    <w:p>
      <w:pPr>
        <w:pStyle w:val="Normal"/>
        <w:ind w:start="720" w:end="0"/>
        <w:jc w:val="both"/>
        <w:rPr/>
      </w:pPr>
      <w:r>
        <w:rPr>
          <w:sz w:val="22"/>
        </w:rPr>
        <w:t xml:space="preserve">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(1)  Party B is not a Defaulting Party and [it has a Credit Rating</w:t>
      </w:r>
      <w:r>
        <w:rPr>
          <w:color w:val="000000"/>
          <w:sz w:val="22"/>
        </w:rPr>
        <w:t xml:space="preserve"> from S&amp;P</w:t>
      </w:r>
      <w:r>
        <w:rPr>
          <w:sz w:val="22"/>
        </w:rPr>
        <w:t xml:space="preserve"> and the lowest Credit Rating for it is “</w:t>
      </w:r>
      <w:r>
        <w:rPr>
          <w:color w:val="000000"/>
          <w:sz w:val="22"/>
        </w:rPr>
        <w:t>___</w:t>
      </w:r>
      <w:r>
        <w:rPr>
          <w:sz w:val="22"/>
        </w:rPr>
        <w:t>” or higher by S&amp;P</w:t>
      </w:r>
      <w:r>
        <w:rPr>
          <w:color w:val="FF0000"/>
          <w:sz w:val="22"/>
        </w:rPr>
        <w:t>]</w:t>
      </w:r>
      <w:r>
        <w:rPr>
          <w:sz w:val="22"/>
        </w:rPr>
        <w:t xml:space="preserve"> </w:t>
      </w:r>
      <w:r>
        <w:rPr>
          <w:color w:val="FF0000"/>
          <w:sz w:val="22"/>
        </w:rPr>
        <w:t>[</w:t>
      </w:r>
      <w:r>
        <w:rPr>
          <w:sz w:val="22"/>
        </w:rPr>
        <w:t>a Material Adverse Change has not occurred with respect to Party B</w:t>
      </w:r>
      <w:r>
        <w:rPr>
          <w:color w:val="FF0000"/>
          <w:sz w:val="22"/>
        </w:rPr>
        <w:t>]</w:t>
      </w:r>
      <w:r>
        <w:rPr>
          <w:sz w:val="22"/>
        </w:rPr>
        <w:t xml:space="preserve">.  </w:t>
      </w:r>
      <w:r>
        <w:rPr>
          <w:b/>
          <w:sz w:val="22"/>
        </w:rPr>
        <w:t>[IS PARTY B RATED?]</w:t>
      </w:r>
    </w:p>
    <w:p>
      <w:pPr>
        <w:pStyle w:val="Normal"/>
        <w:ind w:start="1080" w:end="0"/>
        <w:jc w:val="both"/>
        <w:rPr>
          <w:b/>
          <w:sz w:val="22"/>
        </w:rPr>
      </w:pPr>
      <w:r>
        <w:rPr>
          <w:b/>
          <w:sz w:val="22"/>
        </w:rPr>
      </w:r>
    </w:p>
    <w:p>
      <w:pPr>
        <w:pStyle w:val="Normal"/>
        <w:ind w:start="1080" w:end="0"/>
        <w:jc w:val="both"/>
        <w:rPr>
          <w:color w:val="FF0000"/>
          <w:sz w:val="22"/>
        </w:rPr>
      </w:pPr>
      <w:r>
        <w:rPr>
          <w:sz w:val="22"/>
        </w:rPr>
        <w:t>(2)  Posted Collateral may be held only in the following jurisdictions:  Any jurisdiction in the United States.</w:t>
      </w:r>
    </w:p>
    <w:p>
      <w:pPr>
        <w:pStyle w:val="Normal"/>
        <w:ind w:start="720" w:end="0"/>
        <w:jc w:val="both"/>
        <w:rPr>
          <w:color w:val="FF0000"/>
          <w:sz w:val="22"/>
        </w:rPr>
      </w:pPr>
      <w:r>
        <w:rPr>
          <w:color w:val="FF0000"/>
          <w:sz w:val="22"/>
        </w:rPr>
      </w:r>
    </w:p>
    <w:p>
      <w:pPr>
        <w:pStyle w:val="BodyTextIndent3"/>
        <w:rPr/>
      </w:pPr>
      <w:r>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ind w:start="72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720" w:end="0"/>
        <w:jc w:val="both"/>
        <w:rPr>
          <w:sz w:val="22"/>
        </w:rPr>
      </w:pPr>
      <w:r>
        <w:rPr>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900" w:end="0"/>
        <w:jc w:val="both"/>
        <w:rPr>
          <w:sz w:val="22"/>
        </w:rPr>
      </w:pPr>
      <w:r>
        <w:rPr>
          <w:sz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sz w:val="22"/>
        </w:rPr>
      </w:pPr>
      <w:r>
        <w:rPr>
          <w:sz w:val="22"/>
        </w:rPr>
      </w:r>
    </w:p>
    <w:p>
      <w:pPr>
        <w:pStyle w:val="Norma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sz w:val="22"/>
        </w:rPr>
      </w:pPr>
      <w:r>
        <w:rPr>
          <w:sz w:val="22"/>
        </w:rPr>
      </w:r>
    </w:p>
    <w:p>
      <w:pPr>
        <w:pStyle w:val="Normal"/>
        <w:ind w:start="900" w:end="0"/>
        <w:jc w:val="both"/>
        <w:rPr>
          <w:sz w:val="22"/>
        </w:rPr>
      </w:pPr>
      <w:r>
        <w:rPr>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900" w:end="0"/>
        <w:jc w:val="both"/>
        <w:rPr>
          <w:sz w:val="22"/>
        </w:rPr>
      </w:pPr>
      <w:r>
        <w:rPr>
          <w:sz w:val="22"/>
        </w:rPr>
      </w:r>
    </w:p>
    <w:p>
      <w:pPr>
        <w:pStyle w:val="Norma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Material Adverse Change”</w:t>
      </w:r>
      <w:r>
        <w:rPr>
          <w:sz w:val="22"/>
        </w:rPr>
        <w:t xml:space="preserve"> means (a) with respect to Party A, its Credit Support Provider’s Credit Rating is below “BBB-” by S&amp;P  or its Credit Support Provider fails to have a Credit Rating from S&amp;P and (b) with respect to Party B, _________________.  </w:t>
      </w:r>
      <w:r>
        <w:rPr>
          <w:b/>
          <w:sz w:val="22"/>
        </w:rPr>
        <w:t>[HOW WILL THIS BE DEFINED FOR PARTY B?]</w:t>
      </w:r>
    </w:p>
    <w:p>
      <w:pPr>
        <w:pStyle w:val="Normal"/>
        <w:ind w:start="720" w:end="0"/>
        <w:jc w:val="both"/>
        <w:rPr>
          <w:b/>
          <w:sz w:val="22"/>
        </w:rPr>
      </w:pPr>
      <w:r>
        <w:rPr>
          <w:b/>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tLeast" w:line="240"/>
        <w:ind w:start="720" w:end="144"/>
        <w:jc w:val="both"/>
        <w:rPr>
          <w:b/>
          <w:sz w:val="22"/>
        </w:rPr>
      </w:pPr>
      <w:r>
        <w:rPr>
          <w:b/>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jc w:val="center"/>
        <w:rPr>
          <w:sz w:val="22"/>
        </w:rPr>
      </w:pPr>
      <w:r>
        <w:rPr>
          <w:sz w:val="22"/>
        </w:rPr>
      </w:r>
    </w:p>
    <w:p>
      <w:pPr>
        <w:pStyle w:val="Normal"/>
        <w:rPr>
          <w:sz w:val="22"/>
        </w:rPr>
      </w:pPr>
      <w:r>
        <w:rPr>
          <w:sz w:val="22"/>
        </w:rPr>
        <w:t>[Address]</w:t>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jc w:val="both"/>
        <w:rPr>
          <w:sz w:val="22"/>
        </w:rPr>
      </w:pPr>
      <w:r>
        <w:rPr>
          <w:sz w:val="22"/>
        </w:rPr>
      </w:r>
    </w:p>
    <w:p>
      <w:pPr>
        <w:pStyle w:val="Normal"/>
        <w:tabs>
          <w:tab w:val="left" w:pos="720" w:leader="none"/>
        </w:tabs>
        <w:ind w:hanging="720" w:start="720" w:end="0"/>
        <w:jc w:val="both"/>
        <w:rPr>
          <w:sz w:val="22"/>
        </w:rPr>
      </w:pPr>
      <w:r>
        <w:rPr>
          <w:sz w:val="22"/>
        </w:rPr>
        <w:tab/>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sz w:val="22"/>
        </w:rPr>
      </w:pPr>
      <w:r>
        <w:rPr>
          <w:sz w:val="22"/>
        </w:rPr>
      </w:r>
    </w:p>
    <w:p>
      <w:pPr>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KAISER ALUMINUM &amp; CHEMICAL CORPORATION, a Delaware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$________.</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200_,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/mnt/main-storage/datasets/enron-docs/doc/ENA_Broker_Schedules_1.doc</w:t>
    </w:r>
    <w:r>
      <w:rPr>
        <w:sz w:val="16"/>
      </w:rPr>
      <w:fldChar w:fldCharType="end"/>
    </w:r>
  </w:p>
  <w:p>
    <w:pPr>
      <w:pStyle w:val="Footer"/>
      <w:widowControl/>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108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2000-03-06T21:11:00Z</dcterms:created>
  <dc:creator>mheard</dc:creator>
  <dc:description/>
  <dc:language>en-CA</dc:language>
  <cp:lastModifiedBy>cstclai</cp:lastModifiedBy>
  <cp:lastPrinted>2000-03-06T18:01:00Z</cp:lastPrinted>
  <dcterms:modified xsi:type="dcterms:W3CDTF">2000-03-06T21:31:00Z</dcterms:modified>
  <cp:revision>4</cp:revision>
  <dc:subject/>
  <dc:title>ISDA Multicurrency Agreement</dc:title>
</cp:coreProperties>
</file>