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2001</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95" w:hRule="atLeast"/>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Allegheny Energy Supply Company, LLC</w:t>
            </w:r>
            <w:r>
              <w:rPr>
                <w:b/>
                <w:sz w:val="22"/>
              </w:rPr>
              <w:t>, a limited liability company organized under the law of the State of Delaware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$50,000,000 (or its equivalent in another currency);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Market Quotation will apply to any Transaction with a Termination Date two years or less from the Early Termination Date; Loss will apply to any other Transaction,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b/>
          <w:sz w:val="22"/>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sz w:val="22"/>
        </w:rPr>
        <w:t>(h)</w:t>
      </w:r>
      <w:r>
        <w:rPr>
          <w:b/>
          <w:sz w:val="22"/>
        </w:rPr>
        <w:tab/>
        <w:t>“Contractual Currency”</w:t>
      </w:r>
      <w:r>
        <w:rPr>
          <w:sz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sz w:val="22"/>
        </w:rPr>
      </w:pPr>
      <w:r>
        <w:rPr>
          <w:b/>
          <w:sz w:val="22"/>
        </w:rPr>
        <w:t>Part 2.</w:t>
        <w:tab/>
        <w:t>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spacing w:lineRule="exact" w:line="240" w:before="240" w:after="0"/>
        <w:ind w:start="900" w:end="0"/>
        <w:jc w:val="both"/>
        <w:rPr>
          <w:sz w:val="22"/>
        </w:rPr>
      </w:pPr>
      <w:r>
        <w:rPr>
          <w:sz w:val="22"/>
        </w:rPr>
        <w:t>Party B is a limited liability company organized under the laws of the State of Delaware.</w:t>
      </w:r>
    </w:p>
    <w:p>
      <w:pPr>
        <w:pStyle w:val="Normal"/>
        <w:keepNext w:val="true"/>
        <w:spacing w:lineRule="exact" w:line="240" w:before="360" w:after="0"/>
        <w:jc w:val="both"/>
        <w:rPr>
          <w:sz w:val="22"/>
        </w:rPr>
      </w:pPr>
      <w:r>
        <w:rPr>
          <w:b/>
          <w:sz w:val="22"/>
        </w:rPr>
        <w:t>Part 3.  Agreement to Deliver Documents.</w:t>
      </w:r>
    </w:p>
    <w:p>
      <w:pPr>
        <w:pStyle w:val="Normal"/>
        <w:spacing w:lineRule="exact" w:line="240" w:before="240" w:after="0"/>
        <w:ind w:firstLine="720" w:end="0"/>
        <w:jc w:val="both"/>
        <w:rPr>
          <w:sz w:val="22"/>
        </w:rPr>
      </w:pPr>
      <w:r>
        <w:rPr>
          <w:sz w:val="22"/>
        </w:rPr>
        <w:t>For the purpose of Section 4(a), each party agrees to deliver the following documents, as applicable:  United States Internal Revenue Service Form W</w:t>
        <w:noBreakHyphen/>
        <w:t>9 before the first Scheduled Payment Date under this Agreement</w:t>
      </w:r>
    </w:p>
    <w:p>
      <w:pPr>
        <w:pStyle w:val="Normal"/>
        <w:spacing w:lineRule="exact" w:line="240"/>
        <w:ind w:firstLine="720" w:end="0"/>
        <w:jc w:val="both"/>
        <w:rPr>
          <w:sz w:val="22"/>
        </w:rPr>
      </w:pPr>
      <w:r>
        <w:rPr>
          <w:sz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rPr>
            </w:pPr>
            <w:r>
              <w:rPr>
                <w:b/>
                <w:sz w:val="22"/>
              </w:rPr>
              <w:t xml:space="preserve">Party required to deliver </w:t>
            </w:r>
            <w:r>
              <w:rPr>
                <w:b/>
                <w:sz w:val="22"/>
                <w:u w:val="single"/>
              </w:rPr>
              <w:t>document</w:t>
            </w:r>
          </w:p>
        </w:tc>
        <w:tc>
          <w:tcPr>
            <w:tcW w:w="3886" w:type="dxa"/>
            <w:tcBorders/>
            <w:vAlign w:val="bottom"/>
          </w:tcPr>
          <w:p>
            <w:pPr>
              <w:pStyle w:val="Normal"/>
              <w:spacing w:lineRule="atLeast" w:line="240" w:before="240" w:after="0"/>
              <w:rPr>
                <w:sz w:val="22"/>
                <w:u w:val="single"/>
              </w:rPr>
            </w:pPr>
            <w:r>
              <w:rPr>
                <w:b/>
                <w:sz w:val="22"/>
                <w:u w:val="single"/>
              </w:rPr>
              <w:t>Form/Document/Certificate</w:t>
            </w:r>
          </w:p>
        </w:tc>
        <w:tc>
          <w:tcPr>
            <w:tcW w:w="2228" w:type="dxa"/>
            <w:tcBorders/>
            <w:vAlign w:val="bottom"/>
          </w:tcPr>
          <w:p>
            <w:pPr>
              <w:pStyle w:val="Normal"/>
              <w:spacing w:lineRule="atLeast" w:line="240" w:before="240" w:after="0"/>
              <w:rPr>
                <w:sz w:val="22"/>
              </w:rPr>
            </w:pPr>
            <w:r>
              <w:rPr>
                <w:b/>
                <w:sz w:val="22"/>
              </w:rPr>
              <w:t xml:space="preserve">Date by which to </w:t>
            </w:r>
            <w:r>
              <w:rPr>
                <w:b/>
                <w:sz w:val="22"/>
                <w:u w:val="single"/>
              </w:rPr>
              <w:t>be delivered</w:t>
            </w:r>
          </w:p>
        </w:tc>
        <w:tc>
          <w:tcPr>
            <w:tcW w:w="1985" w:type="dxa"/>
            <w:tcBorders/>
            <w:vAlign w:val="bottom"/>
          </w:tcPr>
          <w:p>
            <w:pPr>
              <w:pStyle w:val="Normal"/>
              <w:spacing w:lineRule="atLeast" w:line="240" w:before="240" w:after="0"/>
              <w:jc w:val="center"/>
              <w:rPr>
                <w:sz w:val="22"/>
              </w:rPr>
            </w:pPr>
            <w:r>
              <w:rPr>
                <w:b/>
                <w:sz w:val="22"/>
              </w:rPr>
              <w:t xml:space="preserve">Covered by Section 3(d) </w:t>
            </w:r>
            <w:r>
              <w:rPr>
                <w:b/>
                <w:sz w:val="22"/>
                <w:u w:val="single"/>
              </w:rPr>
              <w:t>Representation</w:t>
            </w:r>
          </w:p>
        </w:tc>
      </w:tr>
      <w:tr>
        <w:trPr/>
        <w:tc>
          <w:tcPr>
            <w:tcW w:w="1837" w:type="dxa"/>
            <w:tcBorders/>
          </w:tcPr>
          <w:p>
            <w:pPr>
              <w:pStyle w:val="Normal"/>
              <w:spacing w:lineRule="atLeast" w:line="240" w:before="240" w:after="0"/>
              <w:jc w:val="both"/>
              <w:rPr>
                <w:b/>
                <w:sz w:val="22"/>
              </w:rPr>
            </w:pPr>
            <w:r>
              <w:rPr>
                <w:sz w:val="22"/>
              </w:rPr>
              <w:t>Party A</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9 </w:t>
            </w:r>
          </w:p>
        </w:tc>
        <w:tc>
          <w:tcPr>
            <w:tcW w:w="2228" w:type="dxa"/>
            <w:tcBorders/>
          </w:tcPr>
          <w:p>
            <w:pPr>
              <w:pStyle w:val="Normal"/>
              <w:spacing w:lineRule="atLeast" w:line="240" w:before="240" w:after="0"/>
              <w:jc w:val="both"/>
              <w:rPr>
                <w:sz w:val="22"/>
              </w:rPr>
            </w:pPr>
            <w:r>
              <w:rPr>
                <w:sz w:val="22"/>
              </w:rPr>
              <w:t>At execution of this Master Agreement and as otherwise provided in this Part 3</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rPr>
              <w:t xml:space="preserve"> </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 if such Financial Statement is not available on “EDGAR”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B</w:t>
            </w:r>
          </w:p>
        </w:tc>
        <w:tc>
          <w:tcPr>
            <w:tcW w:w="3886" w:type="dxa"/>
            <w:tcBorders/>
          </w:tcPr>
          <w:p>
            <w:pPr>
              <w:pStyle w:val="Normal"/>
              <w:spacing w:lineRule="atLeast" w:line="240" w:before="240" w:after="0"/>
              <w:jc w:val="both"/>
              <w:rPr>
                <w:sz w:val="22"/>
              </w:rPr>
            </w:pPr>
            <w:r>
              <w:rPr>
                <w:sz w:val="22"/>
              </w:rPr>
              <w:t>Quarterly Unaudited Consolidated Financial Statement of Party B</w:t>
            </w:r>
          </w:p>
        </w:tc>
        <w:tc>
          <w:tcPr>
            <w:tcW w:w="2228" w:type="dxa"/>
            <w:tcBorders/>
          </w:tcPr>
          <w:p>
            <w:pPr>
              <w:pStyle w:val="Normal"/>
              <w:spacing w:lineRule="atLeast" w:line="240" w:before="240" w:after="0"/>
              <w:rPr>
                <w:sz w:val="22"/>
              </w:rPr>
            </w:pPr>
            <w:r>
              <w:rPr>
                <w:sz w:val="22"/>
              </w:rPr>
              <w:t>Promptly following demand by Party A, but in no event later than 60 days after the end of each of the first three fiscal quarters of each fiscal year of Party B if such Financial Statement is not available on “EDGAR”</w:t>
            </w:r>
          </w:p>
        </w:tc>
        <w:tc>
          <w:tcPr>
            <w:tcW w:w="1985" w:type="dxa"/>
            <w:tcBorders/>
          </w:tcPr>
          <w:p>
            <w:pPr>
              <w:pStyle w:val="Normal"/>
              <w:spacing w:lineRule="atLeast" w:line="240" w:before="240" w:after="0"/>
              <w:jc w:val="center"/>
              <w:rPr>
                <w:sz w:val="22"/>
              </w:rPr>
            </w:pPr>
            <w:r>
              <w:rPr>
                <w:sz w:val="22"/>
              </w:rPr>
              <w:t>Yes</w:t>
            </w:r>
          </w:p>
        </w:tc>
      </w:tr>
    </w:tbl>
    <w:p>
      <w:pPr>
        <w:pStyle w:val="Normal"/>
        <w:keepNext w:val="true"/>
        <w:spacing w:lineRule="exact" w:line="240" w:before="480" w:after="0"/>
        <w:jc w:val="both"/>
        <w:rPr>
          <w:b/>
          <w:sz w:val="22"/>
        </w:rPr>
      </w:pPr>
      <w:r>
        <w:rPr>
          <w:b/>
          <w:sz w:val="22"/>
        </w:rPr>
        <w:t>Part 4.  Miscellaneous.</w:t>
      </w:r>
    </w:p>
    <w:p>
      <w:pPr>
        <w:pStyle w:val="Normal"/>
        <w:keepNext w:val="true"/>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rPr>
      </w:pPr>
      <w:r>
        <w:rPr>
          <w:sz w:val="22"/>
        </w:rPr>
        <w:t>Address for notices or communications to Party A:</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rHeight w:val="1278" w:hRule="atLeast"/>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tabs>
                <w:tab w:val="clear" w:pos="720"/>
                <w:tab w:val="left" w:pos="2880" w:leader="none"/>
                <w:tab w:val="left" w:pos="9360" w:leader="none"/>
              </w:tabs>
              <w:spacing w:lineRule="atLeast" w:line="240"/>
              <w:jc w:val="both"/>
              <w:rPr>
                <w:sz w:val="22"/>
              </w:rPr>
            </w:pPr>
            <w:r>
              <w:rPr>
                <w:sz w:val="22"/>
              </w:rPr>
              <w:t>Street Address:</w:t>
            </w:r>
          </w:p>
          <w:p>
            <w:pPr>
              <w:pStyle w:val="Normal"/>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tabs>
                <w:tab w:val="left" w:pos="720" w:leader="none"/>
                <w:tab w:val="right" w:pos="9360" w:leader="dot"/>
              </w:tabs>
              <w:spacing w:lineRule="exact" w:line="240"/>
              <w:jc w:val="both"/>
              <w:rPr>
                <w:sz w:val="22"/>
              </w:rPr>
            </w:pPr>
            <w:r>
              <w:rPr>
                <w:sz w:val="22"/>
              </w:rPr>
            </w:r>
          </w:p>
        </w:tc>
        <w:tc>
          <w:tcPr>
            <w:tcW w:w="4090" w:type="dxa"/>
            <w:tcBorders/>
          </w:tcPr>
          <w:p>
            <w:pPr>
              <w:pStyle w:val="Justified"/>
              <w:widowControl/>
              <w:tabs>
                <w:tab w:val="clear" w:pos="720"/>
                <w:tab w:val="left" w:pos="3762" w:leader="none"/>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Allegheny Energy Supply Company, LLC</w:t>
            </w:r>
          </w:p>
          <w:p>
            <w:pPr>
              <w:pStyle w:val="Normal"/>
              <w:tabs>
                <w:tab w:val="clear" w:pos="720"/>
                <w:tab w:val="left" w:pos="3762" w:leader="none"/>
                <w:tab w:val="left" w:pos="4230" w:leader="none"/>
                <w:tab w:val="left" w:pos="9360" w:leader="none"/>
              </w:tabs>
              <w:spacing w:lineRule="exact" w:line="240"/>
              <w:jc w:val="both"/>
              <w:rPr>
                <w:sz w:val="22"/>
              </w:rPr>
            </w:pPr>
            <w:r>
              <w:rPr>
                <w:sz w:val="22"/>
              </w:rPr>
              <w:t>Roseytown Road</w:t>
            </w:r>
          </w:p>
          <w:p>
            <w:pPr>
              <w:pStyle w:val="Normal"/>
              <w:tabs>
                <w:tab w:val="clear" w:pos="720"/>
                <w:tab w:val="left" w:pos="3762" w:leader="none"/>
                <w:tab w:val="left" w:pos="4230" w:leader="none"/>
                <w:tab w:val="left" w:pos="9360" w:leader="none"/>
              </w:tabs>
              <w:spacing w:lineRule="exact" w:line="240"/>
              <w:jc w:val="both"/>
              <w:rPr>
                <w:sz w:val="22"/>
              </w:rPr>
            </w:pPr>
            <w:r>
              <w:rPr>
                <w:sz w:val="22"/>
              </w:rPr>
              <w:t>RR12, Box 1000</w:t>
            </w:r>
          </w:p>
          <w:p>
            <w:pPr>
              <w:pStyle w:val="Normal"/>
              <w:tabs>
                <w:tab w:val="clear" w:pos="720"/>
                <w:tab w:val="left" w:pos="3762" w:leader="none"/>
                <w:tab w:val="left" w:pos="4230" w:leader="none"/>
                <w:tab w:val="left" w:pos="9360" w:leader="none"/>
              </w:tabs>
              <w:spacing w:lineRule="exact" w:line="240"/>
              <w:jc w:val="both"/>
              <w:rPr>
                <w:sz w:val="22"/>
              </w:rPr>
            </w:pPr>
            <w:r>
              <w:rPr>
                <w:sz w:val="22"/>
              </w:rPr>
              <w:t>Greensburg, PA 15601</w:t>
            </w:r>
          </w:p>
          <w:p>
            <w:pPr>
              <w:pStyle w:val="Normal"/>
              <w:tabs>
                <w:tab w:val="clear" w:pos="720"/>
                <w:tab w:val="left" w:pos="3762" w:leader="none"/>
                <w:tab w:val="left" w:pos="4230" w:leader="none"/>
                <w:tab w:val="left" w:pos="9360" w:leader="none"/>
              </w:tabs>
              <w:spacing w:lineRule="exact" w:line="240"/>
              <w:jc w:val="both"/>
              <w:rPr>
                <w:sz w:val="22"/>
              </w:rPr>
            </w:pPr>
            <w:r>
              <w:rPr>
                <w:sz w:val="22"/>
              </w:rPr>
              <w:t>Attn.:  Contract Administration</w:t>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rPr>
            </w:pPr>
            <w:r>
              <w:rPr>
                <w:sz w:val="22"/>
              </w:rPr>
              <w:t>Facsimile No.:  (724) 853-3777</w:t>
            </w:r>
          </w:p>
          <w:p>
            <w:pPr>
              <w:pStyle w:val="Normal"/>
              <w:tabs>
                <w:tab w:val="clear" w:pos="720"/>
                <w:tab w:val="left" w:pos="2952" w:leader="none"/>
                <w:tab w:val="left" w:pos="4230" w:leader="none"/>
                <w:tab w:val="left" w:pos="9360" w:leader="none"/>
              </w:tabs>
              <w:spacing w:lineRule="exact" w:line="240"/>
              <w:ind w:start="72" w:end="0"/>
              <w:jc w:val="both"/>
              <w:rPr>
                <w:sz w:val="22"/>
              </w:rPr>
            </w:pPr>
            <w:r>
              <w:rPr>
                <w:sz w:val="22"/>
              </w:rPr>
              <w:t>Telephone No.:  (724) 853-3784</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sz w:val="22"/>
        </w:rPr>
      </w:pPr>
      <w:r>
        <w:rPr>
          <w:sz w:val="22"/>
        </w:rPr>
      </w:r>
    </w:p>
    <w:p>
      <w:pPr>
        <w:pStyle w:val="Normal"/>
        <w:tabs>
          <w:tab w:val="left" w:pos="-1440" w:leader="none"/>
          <w:tab w:val="left" w:pos="-720" w:leader="none"/>
          <w:tab w:val="left" w:pos="0" w:leader="none"/>
          <w:tab w:val="left" w:pos="720" w:leader="none"/>
        </w:tabs>
        <w:suppressAutoHyphens w:val="true"/>
        <w:ind w:start="720" w:end="0"/>
        <w:jc w:val="both"/>
        <w:rPr/>
      </w:pPr>
      <w:r>
        <w:rPr>
          <w:sz w:val="22"/>
        </w:rPr>
        <w:t>(c)</w:t>
        <w:tab/>
      </w:r>
      <w:r>
        <w:rPr>
          <w:b/>
          <w:sz w:val="22"/>
        </w:rPr>
        <w:t>Calculation Agent.</w:t>
      </w:r>
      <w:r>
        <w:rPr>
          <w:sz w:val="22"/>
        </w:rPr>
        <w:t xml:space="preserve">  The Calculation Agent is Party A; unless otherwise specified in a Confirmation in relation to the relevant Transaction. </w:t>
      </w:r>
    </w:p>
    <w:p>
      <w:pPr>
        <w:pStyle w:val="Normal"/>
        <w:spacing w:lineRule="exact" w:line="240" w:before="240" w:after="0"/>
        <w:ind w:firstLine="720" w:end="0"/>
        <w:jc w:val="both"/>
        <w:rPr>
          <w:b/>
          <w:sz w:val="22"/>
        </w:rPr>
      </w:pPr>
      <w:r>
        <w:rPr>
          <w:b/>
          <w:sz w:val="22"/>
        </w:rPr>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March 19, 2001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rPr>
        <w:t>(g)</w:t>
        <w:tab/>
      </w:r>
      <w:r>
        <w:rPr>
          <w:b/>
          <w:sz w:val="22"/>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b/>
          <w:sz w:val="22"/>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sz w:val="22"/>
        </w:rPr>
      </w:pPr>
      <w:r>
        <w:rPr>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keepNext w:val="true"/>
        <w:spacing w:lineRule="exact" w:line="240"/>
        <w:ind w:firstLine="630" w:end="0"/>
        <w:jc w:val="both"/>
        <w:rPr/>
      </w:pPr>
      <w:r>
        <w:rPr>
          <w:sz w:val="22"/>
        </w:rPr>
        <w:t>(j)</w:t>
        <w:tab/>
      </w:r>
      <w:r>
        <w:rPr>
          <w:b/>
          <w:sz w:val="22"/>
        </w:rPr>
        <w:t>Transfer.</w:t>
      </w:r>
      <w:r>
        <w:rPr>
          <w:sz w:val="22"/>
        </w:rPr>
        <w:t xml:space="preserve">  Section 7 is hereby amended by adding the following Subsections (c) and (d):</w:t>
      </w:r>
    </w:p>
    <w:p>
      <w:pPr>
        <w:pStyle w:val="Normal"/>
        <w:keepNext w:val="true"/>
        <w:spacing w:lineRule="exact" w:line="240"/>
        <w:ind w:firstLine="630" w:end="0"/>
        <w:jc w:val="both"/>
        <w:rPr>
          <w:sz w:val="22"/>
        </w:rPr>
      </w:pPr>
      <w:r>
        <w:rPr>
          <w:sz w:val="22"/>
        </w:rPr>
      </w:r>
    </w:p>
    <w:p>
      <w:pPr>
        <w:pStyle w:val="Normal"/>
        <w:keepNext w:val="true"/>
        <w:spacing w:lineRule="exact" w:line="240"/>
        <w:ind w:firstLine="720" w:start="72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keepNext w:val="true"/>
        <w:spacing w:lineRule="exact" w:line="240"/>
        <w:ind w:firstLine="720" w:start="720" w:end="0"/>
        <w:jc w:val="both"/>
        <w:rPr>
          <w:sz w:val="22"/>
        </w:rPr>
      </w:pPr>
      <w:r>
        <w:rPr>
          <w:sz w:val="22"/>
        </w:rPr>
      </w:r>
    </w:p>
    <w:p>
      <w:pPr>
        <w:pStyle w:val="Normal"/>
        <w:autoSpaceDE w:val="false"/>
        <w:ind w:firstLine="720" w:start="720" w:end="0"/>
        <w:jc w:val="both"/>
        <w:rPr>
          <w:sz w:val="22"/>
        </w:rPr>
      </w:pPr>
      <w:r>
        <w:rPr>
          <w:sz w:val="22"/>
        </w:rPr>
        <w:t xml:space="preserve">(d) </w:t>
      </w:r>
      <w:r>
        <w:rPr>
          <w:color w:val="000000"/>
          <w:sz w:val="22"/>
          <w:szCs w:val="22"/>
        </w:rPr>
        <w:t>Party B may transfer its rights and obligations under this Agreement, in whole but not in part, to any Affiliate provided that (1) such transfer will not give rise to a Termination Event or an Event of Default, and (2) (i) the creditworthiness of the Affiliate is not materially weaker than that of Party B immediately prior to such transfer, unless Party B provides a satisfactory guaranty or credit support to the Affiliate, or (ii) the proposed Affiliate satisfies the criteria that Party A applies in deciding whether to offer or make an extension of credit or to enter into transactions similar to the Transactions subject to the proposed transfer</w:t>
      </w:r>
    </w:p>
    <w:p>
      <w:pPr>
        <w:pStyle w:val="Normal"/>
        <w:keepNext w:val="true"/>
        <w:spacing w:lineRule="exact" w:line="240"/>
        <w:ind w:firstLine="720" w:start="720" w:end="0"/>
        <w:jc w:val="both"/>
        <w:rPr>
          <w:sz w:val="22"/>
        </w:rPr>
      </w:pPr>
      <w:r>
        <w:rPr>
          <w:sz w:val="22"/>
        </w:rPr>
      </w:r>
    </w:p>
    <w:p>
      <w:pPr>
        <w:pStyle w:val="Normal"/>
        <w:keepNext w:val="true"/>
        <w:spacing w:lineRule="exact" w:line="240"/>
        <w:ind w:firstLine="720" w:start="720" w:end="0"/>
        <w:jc w:val="both"/>
        <w:rPr>
          <w:sz w:val="22"/>
        </w:rPr>
      </w:pPr>
      <w:r>
        <w:rPr>
          <w:sz w:val="22"/>
        </w:rPr>
      </w:r>
    </w:p>
    <w:p>
      <w:pPr>
        <w:pStyle w:val="Normal"/>
        <w:keepNext w:val="true"/>
        <w:spacing w:lineRule="exact" w:line="24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 xml:space="preserve">(m) </w:t>
        <w:tab/>
      </w:r>
      <w:r>
        <w:rPr>
          <w:b/>
          <w:sz w:val="22"/>
        </w:rPr>
        <w:t>Existing Transactions.</w:t>
      </w:r>
      <w:r>
        <w:rPr>
          <w:sz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u w:val="single"/>
        </w:rPr>
        <w:t>provided that</w:t>
      </w:r>
      <w:r>
        <w:rPr>
          <w:sz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autoSpaceDE w:val="false"/>
        <w:spacing w:lineRule="atLeast" w:line="240"/>
        <w:rPr>
          <w:b/>
          <w:sz w:val="22"/>
        </w:rPr>
      </w:pPr>
      <w:r>
        <w:rPr>
          <w:b/>
          <w:sz w:val="22"/>
        </w:rPr>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pPr>
      <w:r>
        <w:rPr>
          <w:sz w:val="22"/>
        </w:rPr>
        <w:t>(iv)</w:t>
        <w:tab/>
        <w:t xml:space="preserve">“Fallback Reference Dealers”; </w:t>
      </w:r>
      <w:r>
        <w:rPr>
          <w:sz w:val="22"/>
          <w:u w:val="single"/>
        </w:rPr>
        <w:t>provided however</w:t>
      </w:r>
      <w:r>
        <w:rPr>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rPr>
      </w:pPr>
      <w:r>
        <w:rPr>
          <w:sz w:val="22"/>
        </w:rPr>
      </w:r>
    </w:p>
    <w:p>
      <w:pPr>
        <w:pStyle w:val="Normal"/>
        <w:ind w:firstLine="720" w:end="0"/>
        <w:jc w:val="both"/>
        <w:rPr>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rPr>
      </w:pPr>
      <w:r>
        <w:rPr>
          <w:sz w:val="22"/>
        </w:rPr>
      </w:r>
    </w:p>
    <w:p>
      <w:pPr>
        <w:pStyle w:val="Normal"/>
        <w:ind w:firstLine="720" w:end="0"/>
        <w:jc w:val="both"/>
        <w:rPr>
          <w:sz w:val="22"/>
        </w:rPr>
      </w:pPr>
      <w:r>
        <w:rPr>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 provided however, that Party B may dispute any such valuations or calculations.</w:t>
      </w:r>
    </w:p>
    <w:p>
      <w:pPr>
        <w:pStyle w:val="Normal"/>
        <w:ind w:firstLine="720" w:end="0"/>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rFonts w:ascii="Times" w:hAnsi="Times" w:cs="Times"/>
                <w:b/>
                <w:caps/>
                <w:sz w:val="22"/>
              </w:rPr>
            </w:pPr>
            <w:r>
              <w:rPr>
                <w:rFonts w:cs="Times" w:ascii="Times" w:hAnsi="Times"/>
                <w:b/>
                <w:caps/>
                <w:sz w:val="22"/>
              </w:rPr>
              <w:t>Allegheny energy supply company, llc</w:t>
            </w:r>
          </w:p>
          <w:p>
            <w:pPr>
              <w:pStyle w:val="Normal"/>
              <w:keepNext w:val="true"/>
              <w:spacing w:lineRule="exact" w:line="240"/>
              <w:jc w:val="both"/>
              <w:rPr>
                <w:rFonts w:ascii="Times" w:hAnsi="Times" w:cs="Times"/>
                <w:b/>
                <w:caps/>
                <w:sz w:val="22"/>
              </w:rPr>
            </w:pPr>
            <w:r>
              <w:rPr>
                <w:rFonts w:cs="Times" w:ascii="Times" w:hAnsi="Times"/>
                <w:b/>
                <w:caps/>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2001</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77" w:hRule="atLeast"/>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Allegheny energy supply company, llc</w:t>
            </w:r>
            <w:r>
              <w:rPr>
                <w:b/>
                <w:sz w:val="22"/>
              </w:rPr>
              <w:t>, a limited liability company organized under the law of the State of Delaware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xml:space="preserve">, the Credit Support Amount shall be deemed to be zero on any Valuation Date in which there are no Transactions outstanding and Party A and Party B have no obligations, contingent or otherwise, to each other under this Agreement or any Credit Support Document.  </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keepNext w:val="true"/>
        <w:numPr>
          <w:ilvl w:val="0"/>
          <w:numId w:val="4"/>
        </w:numPr>
        <w:jc w:val="both"/>
        <w:rPr>
          <w:sz w:val="22"/>
        </w:rPr>
      </w:pP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keepNext w:val="true"/>
        <w:ind w:start="720" w:end="0"/>
        <w:jc w:val="both"/>
        <w:rPr>
          <w:b/>
          <w:sz w:val="22"/>
        </w:rPr>
      </w:pPr>
      <w:r>
        <w:rPr>
          <w:b/>
          <w:sz w:val="22"/>
        </w:rPr>
      </w:r>
    </w:p>
    <w:p>
      <w:pPr>
        <w:pStyle w:val="Normal"/>
        <w:keepNext w:val="true"/>
        <w:ind w:start="720" w:end="0"/>
        <w:jc w:val="both"/>
        <w:rPr>
          <w:b/>
          <w:sz w:val="22"/>
        </w:rPr>
      </w:pPr>
      <w:r>
        <w:rPr>
          <w:sz w:val="22"/>
        </w:rPr>
        <w:t>Any irrevocable, transferable letter of credit, in form and substance acceptable to the other party, naming such party as the beneficiary, issued by a commercial bank whose long-term, unsecured, unsubordinated debt is rated at least AA by Standard &amp; Poor’s Ratings Group (or its successors or assigns) (“S&amp;P”) and at least Aa2 by Moody’s Investors Service, Inc. (or its successors or assigns) (“Moody’s)</w:t>
      </w:r>
    </w:p>
    <w:p>
      <w:pPr>
        <w:pStyle w:val="Normal"/>
        <w:keepNext w:val="true"/>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 provided that if the Credit Rating of a party falls below BBB- by S&amp;P or Baa3 by Moody’s, then the Independent Amount with respect to such party shall be $5,000,000 for so long as its Credit Rating remains below such levels.</w:t>
      </w:r>
    </w:p>
    <w:p>
      <w:pPr>
        <w:pStyle w:val="Normal"/>
        <w:ind w:start="720" w:end="0"/>
        <w:jc w:val="both"/>
        <w:rPr>
          <w:sz w:val="22"/>
        </w:rPr>
      </w:pPr>
      <w:r>
        <w:rPr>
          <w:sz w:val="22"/>
        </w:rPr>
      </w:r>
    </w:p>
    <w:p>
      <w:pPr>
        <w:pStyle w:val="Normal"/>
        <w:keepNext w:val="true"/>
        <w:ind w:start="720" w:end="0"/>
        <w:jc w:val="both"/>
        <w:rPr/>
      </w:pPr>
      <w:r>
        <w:rPr>
          <w:sz w:val="22"/>
        </w:rPr>
        <w:t xml:space="preserve">(B)  </w:t>
      </w:r>
      <w:r>
        <w:rPr>
          <w:b/>
          <w:sz w:val="22"/>
        </w:rPr>
        <w:t>“Threshold”</w:t>
      </w:r>
      <w:r>
        <w:rPr>
          <w:sz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or Specified Condition with respect to such party has occurred and is continuing:</w:t>
      </w:r>
    </w:p>
    <w:p>
      <w:pPr>
        <w:pStyle w:val="Normal"/>
        <w:keepNext w:val="true"/>
        <w:ind w:hanging="720" w:start="2160" w:end="0"/>
        <w:jc w:val="both"/>
        <w:rPr>
          <w:sz w:val="22"/>
        </w:rPr>
      </w:pPr>
      <w:r>
        <w:rPr>
          <w:sz w:val="22"/>
        </w:rPr>
      </w:r>
    </w:p>
    <w:tbl>
      <w:tblPr>
        <w:tblW w:w="8388" w:type="dxa"/>
        <w:jc w:val="start"/>
        <w:tblInd w:w="1188" w:type="dxa"/>
        <w:tblLayout w:type="fixed"/>
        <w:tblCellMar>
          <w:top w:w="0" w:type="dxa"/>
          <w:start w:w="108" w:type="dxa"/>
          <w:bottom w:w="0" w:type="dxa"/>
          <w:end w:w="108" w:type="dxa"/>
        </w:tblCellMar>
      </w:tblPr>
      <w:tblGrid>
        <w:gridCol w:w="2700"/>
        <w:gridCol w:w="1959"/>
        <w:gridCol w:w="1828"/>
        <w:gridCol w:w="1901"/>
      </w:tblGrid>
      <w:tr>
        <w:trPr/>
        <w:tc>
          <w:tcPr>
            <w:tcW w:w="2700" w:type="dxa"/>
            <w:tcBorders/>
          </w:tcPr>
          <w:p>
            <w:pPr>
              <w:pStyle w:val="Normal"/>
              <w:keepNext w:val="true"/>
              <w:rPr>
                <w:rFonts w:ascii="Times" w:hAnsi="Times" w:cs="Times"/>
                <w:caps/>
                <w:sz w:val="22"/>
                <w:u w:val="single"/>
              </w:rPr>
            </w:pPr>
            <w:r>
              <w:rPr>
                <w:rFonts w:cs="Times" w:ascii="Times" w:hAnsi="Times"/>
                <w:b/>
                <w:caps/>
                <w:sz w:val="22"/>
                <w:u w:val="single"/>
              </w:rPr>
              <w:t>Party A’s THRESHOLD</w:t>
            </w:r>
          </w:p>
        </w:tc>
        <w:tc>
          <w:tcPr>
            <w:tcW w:w="1959" w:type="dxa"/>
            <w:tcBorders/>
          </w:tcPr>
          <w:p>
            <w:pPr>
              <w:pStyle w:val="Normal"/>
              <w:keepNext w:val="true"/>
              <w:rPr>
                <w:rFonts w:ascii="Times" w:hAnsi="Times" w:cs="Times"/>
                <w:caps/>
                <w:sz w:val="22"/>
                <w:u w:val="single"/>
              </w:rPr>
            </w:pPr>
            <w:r>
              <w:rPr>
                <w:rFonts w:cs="Times" w:ascii="Times" w:hAnsi="Times"/>
                <w:b/>
                <w:caps/>
                <w:sz w:val="22"/>
                <w:u w:val="single"/>
              </w:rPr>
              <w:t>Party B’s THRESHOLD</w:t>
            </w:r>
          </w:p>
        </w:tc>
        <w:tc>
          <w:tcPr>
            <w:tcW w:w="1828" w:type="dxa"/>
            <w:tcBorders/>
          </w:tcPr>
          <w:p>
            <w:pPr>
              <w:pStyle w:val="BodyTextIndent2"/>
              <w:keepNext w:val="true"/>
              <w:ind w:hanging="0" w:end="0"/>
              <w:jc w:val="start"/>
              <w:rPr>
                <w:b/>
                <w:u w:val="single"/>
              </w:rPr>
            </w:pPr>
            <w:r>
              <w:rPr>
                <w:b/>
                <w:u w:val="single"/>
              </w:rPr>
              <w:t>S&amp;P CREDIT RATING</w:t>
            </w:r>
          </w:p>
          <w:p>
            <w:pPr>
              <w:pStyle w:val="Normal"/>
              <w:keepNext w:val="true"/>
              <w:ind w:start="-18" w:end="0"/>
              <w:rPr>
                <w:b/>
                <w:sz w:val="22"/>
                <w:u w:val="single"/>
              </w:rPr>
            </w:pPr>
            <w:r>
              <w:rPr>
                <w:b/>
                <w:sz w:val="22"/>
                <w:u w:val="single"/>
              </w:rPr>
            </w:r>
          </w:p>
        </w:tc>
        <w:tc>
          <w:tcPr>
            <w:tcW w:w="1901" w:type="dxa"/>
            <w:tcBorders/>
          </w:tcPr>
          <w:p>
            <w:pPr>
              <w:pStyle w:val="Normal"/>
              <w:keepNext w:val="true"/>
              <w:rPr>
                <w:b/>
                <w:sz w:val="22"/>
                <w:u w:val="single"/>
              </w:rPr>
            </w:pPr>
            <w:r>
              <w:rPr>
                <w:b/>
                <w:sz w:val="22"/>
                <w:u w:val="single"/>
              </w:rPr>
              <w:t>MOODY'S CREDIT RATING</w:t>
            </w:r>
          </w:p>
          <w:p>
            <w:pPr>
              <w:pStyle w:val="Normal"/>
              <w:keepNext w:val="true"/>
              <w:rPr>
                <w:b/>
                <w:sz w:val="22"/>
                <w:u w:val="single"/>
              </w:rPr>
            </w:pPr>
            <w:r>
              <w:rPr>
                <w:b/>
                <w:sz w:val="22"/>
                <w:u w:val="single"/>
              </w:rPr>
            </w:r>
          </w:p>
        </w:tc>
      </w:tr>
      <w:tr>
        <w:trPr/>
        <w:tc>
          <w:tcPr>
            <w:tcW w:w="2700" w:type="dxa"/>
            <w:tcBorders/>
          </w:tcPr>
          <w:p>
            <w:pPr>
              <w:pStyle w:val="Normal"/>
              <w:keepNext w:val="true"/>
              <w:rPr>
                <w:sz w:val="22"/>
              </w:rPr>
            </w:pPr>
            <w:r>
              <w:rPr>
                <w:sz w:val="22"/>
              </w:rPr>
              <w:t>U.S. $25,000,000</w:t>
            </w:r>
          </w:p>
        </w:tc>
        <w:tc>
          <w:tcPr>
            <w:tcW w:w="1959" w:type="dxa"/>
            <w:tcBorders/>
          </w:tcPr>
          <w:p>
            <w:pPr>
              <w:pStyle w:val="Normal"/>
              <w:keepNext w:val="true"/>
              <w:ind w:start="-18" w:end="0"/>
              <w:rPr>
                <w:sz w:val="22"/>
              </w:rPr>
            </w:pPr>
            <w:r>
              <w:rPr>
                <w:sz w:val="22"/>
              </w:rPr>
              <w:t>U.S. $15,000,000</w:t>
            </w:r>
          </w:p>
        </w:tc>
        <w:tc>
          <w:tcPr>
            <w:tcW w:w="1828" w:type="dxa"/>
            <w:tcBorders/>
          </w:tcPr>
          <w:p>
            <w:pPr>
              <w:pStyle w:val="Normal"/>
              <w:keepNext w:val="true"/>
              <w:ind w:start="-18" w:end="0"/>
              <w:rPr>
                <w:sz w:val="22"/>
              </w:rPr>
            </w:pPr>
            <w:r>
              <w:rPr>
                <w:sz w:val="22"/>
              </w:rPr>
              <w:t>BBB+ (or above)</w:t>
            </w:r>
          </w:p>
        </w:tc>
        <w:tc>
          <w:tcPr>
            <w:tcW w:w="1901" w:type="dxa"/>
            <w:tcBorders/>
          </w:tcPr>
          <w:p>
            <w:pPr>
              <w:pStyle w:val="Normal"/>
              <w:keepNext w:val="true"/>
              <w:rPr>
                <w:sz w:val="22"/>
              </w:rPr>
            </w:pPr>
            <w:r>
              <w:rPr>
                <w:sz w:val="22"/>
              </w:rPr>
              <w:t>Baa1 (or above)</w:t>
            </w:r>
          </w:p>
        </w:tc>
      </w:tr>
      <w:tr>
        <w:trPr/>
        <w:tc>
          <w:tcPr>
            <w:tcW w:w="2700" w:type="dxa"/>
            <w:tcBorders/>
          </w:tcPr>
          <w:p>
            <w:pPr>
              <w:pStyle w:val="Normal"/>
              <w:keepNext w:val="true"/>
              <w:rPr>
                <w:sz w:val="22"/>
              </w:rPr>
            </w:pPr>
            <w:r>
              <w:rPr>
                <w:sz w:val="22"/>
              </w:rPr>
              <w:t>U.S. $20,000,000</w:t>
            </w:r>
          </w:p>
        </w:tc>
        <w:tc>
          <w:tcPr>
            <w:tcW w:w="1959" w:type="dxa"/>
            <w:tcBorders/>
          </w:tcPr>
          <w:p>
            <w:pPr>
              <w:pStyle w:val="Normal"/>
              <w:keepNext w:val="true"/>
              <w:ind w:start="-18" w:end="0"/>
              <w:rPr>
                <w:sz w:val="22"/>
              </w:rPr>
            </w:pPr>
            <w:r>
              <w:rPr>
                <w:sz w:val="22"/>
              </w:rPr>
              <w:t>U.S. $10,000,000</w:t>
            </w:r>
          </w:p>
        </w:tc>
        <w:tc>
          <w:tcPr>
            <w:tcW w:w="1828" w:type="dxa"/>
            <w:tcBorders/>
          </w:tcPr>
          <w:p>
            <w:pPr>
              <w:pStyle w:val="Normal"/>
              <w:keepNext w:val="true"/>
              <w:ind w:start="-18" w:end="0"/>
              <w:rPr>
                <w:sz w:val="22"/>
              </w:rPr>
            </w:pPr>
            <w:r>
              <w:rPr>
                <w:sz w:val="22"/>
              </w:rPr>
              <w:t>BBB</w:t>
            </w:r>
          </w:p>
        </w:tc>
        <w:tc>
          <w:tcPr>
            <w:tcW w:w="1901" w:type="dxa"/>
            <w:tcBorders/>
          </w:tcPr>
          <w:p>
            <w:pPr>
              <w:pStyle w:val="Normal"/>
              <w:keepNext w:val="true"/>
              <w:rPr>
                <w:sz w:val="22"/>
              </w:rPr>
            </w:pPr>
            <w:r>
              <w:rPr>
                <w:sz w:val="22"/>
              </w:rPr>
              <w:t>Baa2</w:t>
            </w:r>
          </w:p>
        </w:tc>
      </w:tr>
      <w:tr>
        <w:trPr/>
        <w:tc>
          <w:tcPr>
            <w:tcW w:w="2700" w:type="dxa"/>
            <w:tcBorders/>
          </w:tcPr>
          <w:p>
            <w:pPr>
              <w:pStyle w:val="Normal"/>
              <w:keepNext w:val="true"/>
              <w:rPr>
                <w:sz w:val="22"/>
              </w:rPr>
            </w:pPr>
            <w:r>
              <w:rPr>
                <w:sz w:val="22"/>
              </w:rPr>
              <w:t>U.S. $10,000,000</w:t>
            </w:r>
          </w:p>
        </w:tc>
        <w:tc>
          <w:tcPr>
            <w:tcW w:w="1959" w:type="dxa"/>
            <w:tcBorders/>
          </w:tcPr>
          <w:p>
            <w:pPr>
              <w:pStyle w:val="Normal"/>
              <w:keepNext w:val="true"/>
              <w:ind w:start="-18" w:end="0"/>
              <w:rPr>
                <w:sz w:val="22"/>
              </w:rPr>
            </w:pPr>
            <w:r>
              <w:rPr>
                <w:sz w:val="22"/>
              </w:rPr>
              <w:t>U.S. $5,000,000</w:t>
            </w:r>
          </w:p>
        </w:tc>
        <w:tc>
          <w:tcPr>
            <w:tcW w:w="1828" w:type="dxa"/>
            <w:tcBorders/>
          </w:tcPr>
          <w:p>
            <w:pPr>
              <w:pStyle w:val="Normal"/>
              <w:keepNext w:val="true"/>
              <w:ind w:start="-18" w:end="0"/>
              <w:rPr>
                <w:sz w:val="22"/>
              </w:rPr>
            </w:pPr>
            <w:r>
              <w:rPr>
                <w:sz w:val="22"/>
              </w:rPr>
              <w:t>BBB-</w:t>
            </w:r>
          </w:p>
        </w:tc>
        <w:tc>
          <w:tcPr>
            <w:tcW w:w="1901" w:type="dxa"/>
            <w:tcBorders/>
          </w:tcPr>
          <w:p>
            <w:pPr>
              <w:pStyle w:val="Normal"/>
              <w:keepNext w:val="true"/>
              <w:rPr>
                <w:sz w:val="22"/>
              </w:rPr>
            </w:pPr>
            <w:r>
              <w:rPr>
                <w:sz w:val="22"/>
              </w:rPr>
              <w:t>Baa3</w:t>
            </w:r>
          </w:p>
        </w:tc>
      </w:tr>
      <w:tr>
        <w:trPr/>
        <w:tc>
          <w:tcPr>
            <w:tcW w:w="2700" w:type="dxa"/>
            <w:tcBorders/>
          </w:tcPr>
          <w:p>
            <w:pPr>
              <w:pStyle w:val="Header"/>
              <w:keepNext w:val="true"/>
              <w:widowControl/>
              <w:tabs>
                <w:tab w:val="clear" w:pos="4320"/>
                <w:tab w:val="clear" w:pos="8640"/>
                <w:tab w:val="left" w:pos="612" w:leader="none"/>
              </w:tabs>
              <w:rPr/>
            </w:pPr>
            <w:r>
              <w:rPr/>
              <w:tab/>
              <w:t>0</w:t>
            </w:r>
          </w:p>
        </w:tc>
        <w:tc>
          <w:tcPr>
            <w:tcW w:w="1959" w:type="dxa"/>
            <w:tcBorders/>
          </w:tcPr>
          <w:p>
            <w:pPr>
              <w:pStyle w:val="Normal"/>
              <w:keepNext w:val="true"/>
              <w:tabs>
                <w:tab w:val="clear" w:pos="720"/>
                <w:tab w:val="left" w:pos="522" w:leader="none"/>
              </w:tabs>
              <w:ind w:start="-18" w:end="0"/>
              <w:rPr>
                <w:sz w:val="22"/>
              </w:rPr>
            </w:pPr>
            <w:r>
              <w:rPr>
                <w:sz w:val="22"/>
              </w:rPr>
              <w:tab/>
              <w:t>0</w:t>
            </w:r>
          </w:p>
        </w:tc>
        <w:tc>
          <w:tcPr>
            <w:tcW w:w="1828" w:type="dxa"/>
            <w:tcBorders/>
          </w:tcPr>
          <w:p>
            <w:pPr>
              <w:pStyle w:val="Normal"/>
              <w:keepNext w:val="true"/>
              <w:ind w:start="-18" w:end="0"/>
              <w:rPr>
                <w:sz w:val="22"/>
              </w:rPr>
            </w:pPr>
            <w:r>
              <w:rPr>
                <w:sz w:val="22"/>
              </w:rPr>
              <w:t>Below BBB-</w:t>
            </w:r>
          </w:p>
        </w:tc>
        <w:tc>
          <w:tcPr>
            <w:tcW w:w="1901" w:type="dxa"/>
            <w:tcBorders/>
          </w:tcPr>
          <w:p>
            <w:pPr>
              <w:pStyle w:val="Normal"/>
              <w:keepNext w:val="true"/>
              <w:rPr>
                <w:sz w:val="22"/>
              </w:rPr>
            </w:pPr>
            <w:r>
              <w:rPr>
                <w:sz w:val="22"/>
              </w:rPr>
              <w:t>Below Baa3</w:t>
            </w:r>
          </w:p>
        </w:tc>
      </w:tr>
    </w:tbl>
    <w:p>
      <w:pPr>
        <w:pStyle w:val="Normal"/>
        <w:keepNext w:val="true"/>
        <w:ind w:hanging="720" w:start="2160" w:end="0"/>
        <w:jc w:val="both"/>
        <w:rPr>
          <w:sz w:val="22"/>
        </w:rPr>
      </w:pPr>
      <w:r>
        <w:rPr>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PlainText"/>
        <w:tabs>
          <w:tab w:val="left" w:pos="720" w:leader="none"/>
          <w:tab w:val="left" w:pos="1440" w:leader="none"/>
          <w:tab w:val="left" w:pos="2160" w:leader="none"/>
          <w:tab w:val="left" w:pos="2880" w:leader="none"/>
          <w:tab w:val="left" w:pos="3600" w:leader="none"/>
        </w:tabs>
        <w:ind w:hanging="360" w:start="1440" w:end="0"/>
        <w:jc w:val="both"/>
        <w:rPr>
          <w:rFonts w:ascii="Times New Roman" w:hAnsi="Times New Roman" w:cs="Times New Roman"/>
          <w:sz w:val="22"/>
        </w:rPr>
      </w:pPr>
      <w:r>
        <w:rPr>
          <w:rFonts w:cs="Times New Roman" w:ascii="Times New Roman" w:hAnsi="Times New Roman"/>
          <w:sz w:val="22"/>
        </w:rPr>
        <w:t>[X] the close of business in the city of the Valuation Agent on the Local Business Day before the Valuation Date or date of calculation, as applicable; provided that the calculations of Value and Exposure will be made as of approximately the same time on the same date.</w:t>
      </w:r>
    </w:p>
    <w:p>
      <w:pPr>
        <w:pStyle w:val="Normal"/>
        <w:ind w:hanging="360" w:start="1440" w:end="0"/>
        <w:jc w:val="both"/>
        <w:rPr>
          <w:rFonts w:ascii="Times New Roman" w:hAnsi="Times New Roman" w:cs="Times New Roman"/>
          <w:sz w:val="22"/>
        </w:rPr>
      </w:pPr>
      <w:r>
        <w:rPr>
          <w:rFonts w:cs="Times New Roman"/>
          <w:sz w:val="22"/>
        </w:rPr>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[and, except as provided under Other Eligible Credit Support above, Letters of Credit], the face amount thereof; and</w:t>
      </w:r>
    </w:p>
    <w:p>
      <w:pPr>
        <w:pStyle w:val="Normal"/>
        <w:ind w:start="1080" w:end="0"/>
        <w:jc w:val="both"/>
        <w:rPr>
          <w:sz w:val="22"/>
        </w:rPr>
      </w:pPr>
      <w:r>
        <w:rPr>
          <w:sz w:val="22"/>
        </w:rPr>
      </w:r>
    </w:p>
    <w:p>
      <w:pPr>
        <w:pStyle w:val="Normal"/>
        <w:numPr>
          <w:ilvl w:val="0"/>
          <w:numId w:val="3"/>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Party A’s Custodian will be entitled to hold Posted Collateral if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 xml:space="preserve">Party B will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Party B is not a Defaulting Party and Party B has a Credit Rating from S&amp;P and the lowest Credit Rating for Party A’s Credit Support Provider is “BBB-” or higher by S&amp;P.</w:t>
      </w:r>
    </w:p>
    <w:p>
      <w:pPr>
        <w:pStyle w:val="Normal"/>
        <w:ind w:start="1080" w:end="0"/>
        <w:jc w:val="both"/>
        <w:rPr>
          <w:sz w:val="22"/>
        </w:rPr>
      </w:pPr>
      <w:r>
        <w:rPr>
          <w:sz w:val="22"/>
        </w:rPr>
      </w:r>
    </w:p>
    <w:p>
      <w:pPr>
        <w:pStyle w:val="Normal"/>
        <w:ind w:start="1080" w:end="0"/>
        <w:jc w:val="both"/>
        <w:rPr>
          <w:sz w:val="22"/>
        </w:rPr>
      </w:pPr>
      <w:r>
        <w:rPr>
          <w:sz w:val="22"/>
        </w:rPr>
        <w:t>(2) Posted Collateral may be held only in the following jurisdictions:  Any jurisdiction in the United States.</w:t>
      </w:r>
    </w:p>
    <w:p>
      <w:pPr>
        <w:pStyle w:val="Normal"/>
        <w:ind w:start="1080" w:end="0"/>
        <w:jc w:val="both"/>
        <w:rPr>
          <w:sz w:val="22"/>
        </w:rPr>
      </w:pPr>
      <w:r>
        <w:rPr>
          <w:sz w:val="22"/>
        </w:rPr>
      </w:r>
    </w:p>
    <w:p>
      <w:pPr>
        <w:pStyle w:val="Normal"/>
        <w:ind w:start="1080" w:end="0"/>
        <w:jc w:val="both"/>
        <w:rPr>
          <w:sz w:val="22"/>
        </w:rPr>
      </w:pPr>
      <w:r>
        <w:rPr>
          <w:sz w:val="22"/>
        </w:rPr>
        <w:t>Party B’s Custodian will be entitled to hold Posted Collateral if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rPr>
      </w:pPr>
      <w:r>
        <w:rPr>
          <w:sz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rPr>
      </w:pPr>
      <w:r>
        <w:rPr>
          <w:sz w:val="22"/>
        </w:rPr>
      </w:r>
    </w:p>
    <w:p>
      <w:pPr>
        <w:pStyle w:val="Normal"/>
        <w:keepNext w:val="true"/>
        <w:ind w:start="720" w:end="0"/>
        <w:jc w:val="both"/>
        <w:rPr>
          <w:sz w:val="22"/>
        </w:rPr>
      </w:pPr>
      <w:r>
        <w:rPr>
          <w:sz w:val="22"/>
        </w:rPr>
        <w:t xml:space="preserve">(ii)  </w:t>
      </w:r>
      <w:r>
        <w:rPr>
          <w:b/>
          <w:sz w:val="22"/>
        </w:rPr>
        <w:t>Use of Posted Collateral.</w:t>
      </w:r>
    </w:p>
    <w:p>
      <w:pPr>
        <w:pStyle w:val="Normal"/>
        <w:keepNext w:val="true"/>
        <w:ind w:start="720" w:end="0"/>
        <w:jc w:val="both"/>
        <w:rPr>
          <w:sz w:val="22"/>
        </w:rPr>
      </w:pPr>
      <w:r>
        <w:rPr>
          <w:sz w:val="22"/>
        </w:rPr>
      </w:r>
    </w:p>
    <w:p>
      <w:pPr>
        <w:pStyle w:val="Normal"/>
        <w:keepNext w:val="true"/>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(j)</w:t>
        <w:tab/>
      </w:r>
      <w:r>
        <w:rPr>
          <w:b/>
          <w:sz w:val="22"/>
        </w:rPr>
        <w:t>Other Eligible Support and Other Posted Support.</w:t>
      </w:r>
    </w:p>
    <w:p>
      <w:pPr>
        <w:pStyle w:val="Normal"/>
        <w:keepNext w:val="true"/>
        <w:ind w:hanging="720" w:start="720" w:end="0"/>
        <w:jc w:val="both"/>
        <w:rPr>
          <w:sz w:val="22"/>
        </w:rPr>
      </w:pPr>
      <w:r>
        <w:rPr>
          <w:sz w:val="22"/>
        </w:rPr>
      </w:r>
    </w:p>
    <w:p>
      <w:pPr>
        <w:pStyle w:val="Normal"/>
        <w:keepNext w:val="true"/>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[or telex] specified in this Annex or delivery of an executed amendment to such Letter of Credit (extending the term or increasing the amount available to the Secured Party thereunder) by the Pledgor to the Secured Party at the address [or telex] specified in this Annex, in each case, together with evidence of the authority, incumbency and specimen signature of the person authorized to execute such letter of credit of any amendment thereto on behalf of the Issuer;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(k)</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(l)</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t xml:space="preserve"> </w:t>
      </w:r>
    </w:p>
    <w:p>
      <w:pPr>
        <w:pStyle w:val="Normal"/>
        <w:ind w:start="720" w:end="0"/>
        <w:jc w:val="both"/>
        <w:rPr/>
      </w:pPr>
      <w:r>
        <w:rPr>
          <w:b/>
          <w:sz w:val="22"/>
        </w:rPr>
        <w:t>“</w:t>
      </w:r>
      <w:r>
        <w:rPr>
          <w:b/>
          <w:sz w:val="22"/>
        </w:rPr>
        <w:t>Issuer”</w:t>
      </w:r>
      <w:r>
        <w:rPr>
          <w:sz w:val="22"/>
        </w:rPr>
        <w:t xml:space="preserve"> means the bank issuing a Letter of Credit at the request of the Pledgor that meets the requirements set forth in the definition of Letter of Credit herein.</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sectPr>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360" w:charSpace="0"/>
        </w:sectPr>
        <w:pStyle w:val="Normal"/>
        <w:keepNext w:val="true"/>
        <w:ind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540" w:end="0"/>
        <w:jc w:val="both"/>
        <w:rPr>
          <w:sz w:val="22"/>
        </w:rPr>
      </w:pPr>
      <w:r>
        <w:rPr>
          <w:sz w:val="22"/>
        </w:rPr>
      </w:r>
    </w:p>
    <w:p>
      <w:pPr>
        <w:pStyle w:val="Normal"/>
        <w:ind w:start="180" w:end="0"/>
        <w:jc w:val="both"/>
        <w:rPr>
          <w:sz w:val="22"/>
        </w:rPr>
      </w:pPr>
      <w:r>
        <w:rPr>
          <w:sz w:val="22"/>
        </w:rPr>
        <w:t>(i) Upon or at any time after the occurrence of an Event of Default with respect to X, Y may draw on the entire, undrawn portion of any outstanding Letter of Credit in accordance with the provisions of Section 6 of the ISDA Master Agreement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rPr>
        <w:t xml:space="preserve">(f)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540" w:top="72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start="5040" w:end="0"/>
        <w:jc w:val="both"/>
        <w:rPr>
          <w:sz w:val="22"/>
        </w:rPr>
      </w:pPr>
      <w:r>
        <w:rPr>
          <w:sz w:val="22"/>
        </w:rPr>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/mnt/main-storage/datasets/enron-docs/doc/ENA_AYE_ISDA___Final_v2.DOC</w:t>
    </w:r>
    <w:r>
      <w:rPr>
        <w:sz w:val="16"/>
      </w:rPr>
      <w:fldChar w:fldCharType="end"/>
    </w:r>
  </w:p>
  <w:p>
    <w:pPr>
      <w:pStyle w:val="Normal"/>
      <w:rPr>
        <w:sz w:val="16"/>
      </w:rPr>
    </w:pPr>
    <w:r>
      <w:rPr>
        <w:sz w:val="16"/>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/mnt/main-storage/datasets/enron-docs/doc/ENA_AYE_ISDA___Final_v2.DOC</w:t>
    </w:r>
    <w:r>
      <w:rPr>
        <w:sz w:val="16"/>
      </w:rPr>
      <w:fldChar w:fldCharType="end"/>
    </w:r>
  </w:p>
  <w:p>
    <w:pPr>
      <w:pStyle w:val="Footer"/>
      <w:rPr>
        <w:sz w:val="8"/>
      </w:rPr>
    </w:pPr>
    <w:r>
      <w:rPr>
        <w:sz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abstractNum w:abstractNumId="4">
    <w:lvl w:ilvl="0">
      <w:start w:val="3"/>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val="false"/>
      <w:i w:val="false"/>
      <w:sz w:val="22"/>
      <w:u w:val="none"/>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WW8Num31z0">
    <w:name w:val="WW8Num31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PlainText">
    <w:name w:val="Plain Text"/>
    <w:basedOn w:val="Normal"/>
    <w:qFormat/>
    <w:pPr>
      <w:spacing w:lineRule="atLeast" w:line="260"/>
    </w:pPr>
    <w:rPr>
      <w:rFonts w:ascii="Courier New" w:hAnsi="Courier New" w:cs="Courier New"/>
      <w:kern w:val="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2001-05-21T12:43:00Z</dcterms:created>
  <dc:creator>mheard</dc:creator>
  <dc:description/>
  <dc:language>en-CA</dc:language>
  <cp:lastModifiedBy>yyaish</cp:lastModifiedBy>
  <cp:lastPrinted>2001-05-21T10:52:00Z</cp:lastPrinted>
  <dcterms:modified xsi:type="dcterms:W3CDTF">2001-05-21T12:43:00Z</dcterms:modified>
  <cp:revision>2</cp:revision>
  <dc:subject/>
  <dc:title>ISDA Multicurrency Agreement</dc:title>
</cp:coreProperties>
</file>