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998" w:type="dxa"/>
        <w:jc w:val="start"/>
        <w:tblInd w:w="0" w:type="dxa"/>
        <w:tblLayout w:type="fixed"/>
        <w:tblCellMar>
          <w:top w:w="0" w:type="dxa"/>
          <w:start w:w="108" w:type="dxa"/>
          <w:bottom w:w="0" w:type="dxa"/>
          <w:end w:w="108" w:type="dxa"/>
        </w:tblCellMar>
      </w:tblPr>
      <w:tblGrid>
        <w:gridCol w:w="4788"/>
        <w:gridCol w:w="6210"/>
      </w:tblGrid>
      <w:tr>
        <w:trPr/>
        <w:tc>
          <w:tcPr>
            <w:tcW w:w="4788" w:type="dxa"/>
            <w:tcBorders/>
          </w:tcPr>
          <w:p>
            <w:pPr>
              <w:pStyle w:val="Normal"/>
              <w:rPr>
                <w:sz w:val="20"/>
              </w:rPr>
            </w:pPr>
            <w:r>
              <w:rPr>
                <w:sz w:val="20"/>
              </w:rPr>
              <w:drawing>
                <wp:inline distT="0" distB="0" distL="0" distR="0">
                  <wp:extent cx="1095375" cy="108775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5375" cy="1087755"/>
                          </a:xfrm>
                          <a:prstGeom prst="rect">
                            <a:avLst/>
                          </a:prstGeom>
                          <a:noFill/>
                        </pic:spPr>
                      </pic:pic>
                    </a:graphicData>
                  </a:graphic>
                </wp:inline>
              </w:drawing>
            </w:r>
          </w:p>
        </w:tc>
        <w:tc>
          <w:tcPr>
            <w:tcW w:w="6210" w:type="dxa"/>
            <w:tcBorders/>
          </w:tcPr>
          <w:p>
            <w:pPr>
              <w:pStyle w:val="BodyText2"/>
              <w:rPr>
                <w:rFonts w:ascii="Arial Narrow" w:hAnsi="Arial Narrow" w:cs="Arial Narrow"/>
                <w:sz w:val="20"/>
              </w:rPr>
            </w:pPr>
            <w:r>
              <w:rPr>
                <w:rFonts w:cs="Arial Narrow" w:ascii="Arial Narrow" w:hAnsi="Arial Narrow"/>
                <w:sz w:val="20"/>
              </w:rPr>
              <w:t>ENA UPSTREAM COMPANY, LLC</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1400 Smith Street</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Houston, TX  77002</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Phone (713) 853-3300</w:t>
            </w:r>
          </w:p>
          <w:p>
            <w:pPr>
              <w:pStyle w:val="Normal"/>
              <w:tabs>
                <w:tab w:val="clear" w:pos="720"/>
                <w:tab w:val="left" w:pos="2412" w:leader="none"/>
              </w:tabs>
              <w:ind w:start="1962" w:end="0"/>
              <w:rPr>
                <w:rFonts w:ascii="Arial Narrow" w:hAnsi="Arial Narrow" w:cs="Arial Narrow"/>
              </w:rPr>
            </w:pPr>
            <w:r>
              <w:rPr>
                <w:rFonts w:cs="Arial Narrow" w:ascii="Arial Narrow" w:hAnsi="Arial Narrow"/>
                <w:i/>
                <w:sz w:val="18"/>
              </w:rPr>
              <w:t>Fax (713) 646-4816</w:t>
            </w:r>
          </w:p>
        </w:tc>
      </w:tr>
    </w:tbl>
    <w:p>
      <w:pPr>
        <w:pStyle w:val="Normal"/>
        <w:widowControl/>
        <w:jc w:val="center"/>
        <w:rPr>
          <w:rFonts w:ascii="Arial Narrow" w:hAnsi="Arial Narrow" w:cs="Arial Narrow"/>
          <w:b/>
          <w:sz w:val="20"/>
        </w:rPr>
      </w:pPr>
      <w:r>
        <w:rPr>
          <w:rFonts w:cs="Arial Narrow" w:ascii="Arial Narrow" w:hAnsi="Arial Narrow"/>
          <w:b/>
          <w:sz w:val="20"/>
        </w:rPr>
      </w:r>
    </w:p>
    <w:p>
      <w:pPr>
        <w:pStyle w:val="Normal"/>
        <w:widowControl/>
        <w:jc w:val="center"/>
        <w:rPr>
          <w:rFonts w:ascii="Arial Narrow" w:hAnsi="Arial Narrow" w:cs="Arial Narrow"/>
          <w:sz w:val="20"/>
        </w:rPr>
      </w:pPr>
      <w:r>
        <w:rPr>
          <w:rFonts w:cs="Arial Narrow" w:ascii="Arial Narrow" w:hAnsi="Arial Narrow"/>
          <w:sz w:val="20"/>
        </w:rPr>
        <w:t>June 26, 2001</w:t>
      </w:r>
    </w:p>
    <w:p>
      <w:pPr>
        <w:pStyle w:val="Normal"/>
        <w:widowControl/>
        <w:jc w:val="center"/>
        <w:rPr>
          <w:rFonts w:ascii="Arial Narrow" w:hAnsi="Arial Narrow" w:cs="Arial Narrow"/>
          <w:sz w:val="20"/>
        </w:rPr>
      </w:pPr>
      <w:r>
        <w:rPr>
          <w:rFonts w:cs="Arial Narrow" w:ascii="Arial Narrow" w:hAnsi="Arial Narrow"/>
          <w:sz w:val="20"/>
        </w:rPr>
      </w:r>
    </w:p>
    <w:p>
      <w:pPr>
        <w:pStyle w:val="Normal"/>
        <w:widowControl/>
        <w:rPr>
          <w:rFonts w:ascii="Arial Narrow" w:hAnsi="Arial Narrow" w:cs="Arial Narrow"/>
          <w:sz w:val="20"/>
        </w:rPr>
      </w:pPr>
      <w:r>
        <w:rPr>
          <w:rFonts w:cs="Arial Narrow" w:ascii="Arial Narrow" w:hAnsi="Arial Narrow"/>
          <w:sz w:val="20"/>
        </w:rPr>
        <w:t>__________________</w:t>
      </w:r>
    </w:p>
    <w:p>
      <w:pPr>
        <w:pStyle w:val="Normal"/>
        <w:widowControl/>
        <w:rPr>
          <w:rFonts w:ascii="Arial Narrow" w:hAnsi="Arial Narrow" w:cs="Arial Narrow"/>
          <w:sz w:val="20"/>
        </w:rPr>
      </w:pPr>
      <w:r>
        <w:rPr>
          <w:rFonts w:cs="Arial Narrow" w:ascii="Arial Narrow" w:hAnsi="Arial Narrow"/>
          <w:sz w:val="20"/>
        </w:rPr>
        <w:t>__________________</w:t>
      </w:r>
    </w:p>
    <w:p>
      <w:pPr>
        <w:pStyle w:val="Normal"/>
        <w:widowControl/>
        <w:rPr>
          <w:rFonts w:ascii="Arial Narrow" w:hAnsi="Arial Narrow" w:cs="Arial Narrow"/>
          <w:sz w:val="20"/>
        </w:rPr>
      </w:pPr>
      <w:r>
        <w:rPr>
          <w:rFonts w:cs="Arial Narrow" w:ascii="Arial Narrow" w:hAnsi="Arial Narrow"/>
          <w:sz w:val="20"/>
        </w:rPr>
        <w:t>__________________</w:t>
      </w:r>
    </w:p>
    <w:p>
      <w:pPr>
        <w:pStyle w:val="Normal"/>
        <w:widowControl/>
        <w:jc w:val="center"/>
        <w:rPr>
          <w:rFonts w:ascii="Arial Narrow" w:hAnsi="Arial Narrow" w:cs="Arial Narrow"/>
          <w:sz w:val="20"/>
        </w:rPr>
      </w:pPr>
      <w:r>
        <w:rPr>
          <w:rFonts w:cs="Arial Narrow" w:ascii="Arial Narrow" w:hAnsi="Arial Narrow"/>
          <w:sz w:val="20"/>
        </w:rPr>
      </w:r>
    </w:p>
    <w:p>
      <w:pPr>
        <w:pStyle w:val="Normal"/>
        <w:widowContro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position w:val="6"/>
          <w:sz w:val="20"/>
        </w:rPr>
        <w:t xml:space="preserve">  </w:t>
      </w:r>
      <w:r>
        <w:rPr>
          <w:rFonts w:cs="Arial Narrow" w:ascii="Arial Narrow" w:hAnsi="Arial Narrow"/>
          <w:b/>
          <w:sz w:val="20"/>
        </w:rPr>
        <w:t>WELLHEAD POOLING POINT PURCHASE/ CONFIRMATION</w:t>
      </w:r>
    </w:p>
    <w:p>
      <w:pPr>
        <w:pStyle w:val="Normal"/>
        <w:widowContro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sz w:val="20"/>
        </w:rPr>
        <w:t xml:space="preserve"> WELLHEAD POOLING POINT PURCHASE/ GENERAL TERMS &amp; CONDITIONS GOVERN</w:t>
      </w:r>
    </w:p>
    <w:p>
      <w:pPr>
        <w:pStyle w:val="Normal"/>
        <w:widowControl/>
        <w:tabs>
          <w:tab w:val="clear" w:pos="720"/>
          <w:tab w:val="left" w:pos="7245" w:leader="none"/>
        </w:tabs>
        <w:jc w:val="center"/>
        <w:rPr>
          <w:rFonts w:ascii="Arial Narrow" w:hAnsi="Arial Narrow" w:cs="Arial Narrow"/>
          <w:b/>
          <w:sz w:val="20"/>
        </w:rPr>
      </w:pPr>
      <w:r>
        <w:rPr>
          <w:rFonts w:cs="Arial Narrow" w:ascii="Arial Narrow" w:hAnsi="Arial Narrow"/>
          <w:b/>
          <w:sz w:val="20"/>
        </w:rPr>
      </w:r>
    </w:p>
    <w:p>
      <w:pPr>
        <w:pStyle w:val="Normal"/>
        <w:widowControl/>
        <w:jc w:val="both"/>
        <w:rPr/>
      </w:pPr>
      <w:r>
        <w:rPr>
          <w:rFonts w:cs="Arial Narrow" w:ascii="Arial Narrow" w:hAnsi="Arial Narrow"/>
          <w:sz w:val="20"/>
        </w:rPr>
        <w:t>This Confirmation shall confirm the Transaction agreed to on the date hereof and binding between _____________ ("</w:t>
      </w:r>
      <w:r>
        <w:rPr>
          <w:rFonts w:cs="Arial Narrow" w:ascii="Arial Narrow" w:hAnsi="Arial Narrow"/>
          <w:sz w:val="20"/>
          <w:u w:val="single"/>
        </w:rPr>
        <w:t>Customer</w:t>
      </w:r>
      <w:r>
        <w:rPr>
          <w:rFonts w:cs="Arial Narrow" w:ascii="Arial Narrow" w:hAnsi="Arial Narrow"/>
          <w:sz w:val="20"/>
        </w:rPr>
        <w:t xml:space="preserve">") and </w:t>
      </w:r>
      <w:r>
        <w:rPr>
          <w:rFonts w:cs="Arial Narrow" w:ascii="Arial Narrow" w:hAnsi="Arial Narrow"/>
          <w:b/>
          <w:sz w:val="20"/>
        </w:rPr>
        <w:t xml:space="preserve">ENA Upstream Company, LLC </w:t>
      </w:r>
      <w:r>
        <w:rPr>
          <w:rFonts w:cs="Arial Narrow" w:ascii="Arial Narrow" w:hAnsi="Arial Narrow"/>
          <w:sz w:val="20"/>
        </w:rPr>
        <w:t>("</w:t>
      </w:r>
      <w:r>
        <w:rPr>
          <w:rFonts w:cs="Arial Narrow" w:ascii="Arial Narrow" w:hAnsi="Arial Narrow"/>
          <w:sz w:val="20"/>
          <w:u w:val="single"/>
        </w:rPr>
        <w:t>Company</w:t>
      </w:r>
      <w:r>
        <w:rPr>
          <w:rFonts w:cs="Arial Narrow" w:ascii="Arial Narrow" w:hAnsi="Arial Narrow"/>
          <w:sz w:val="20"/>
        </w:rPr>
        <w:t>") regarding the purchase and sale of gas on the following terms.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pPr>
      <w:r>
        <w:rPr>
          <w:rFonts w:cs="Arial Narrow" w:ascii="Arial Narrow" w:hAnsi="Arial Narrow"/>
          <w:b/>
          <w:sz w:val="20"/>
        </w:rPr>
        <w:t xml:space="preserve">Daily Contract Quantity:  </w:t>
      </w:r>
      <w:r>
        <w:rPr>
          <w:rFonts w:cs="Arial Narrow" w:ascii="Arial Narrow" w:hAnsi="Arial Narrow"/>
          <w:bCs/>
          <w:sz w:val="20"/>
        </w:rPr>
        <w:t xml:space="preserve">All of the gas which is physically capable of being produced by Seller at the Delivery/(Pooling) Point(s), or a producer with whom Seller has contracted, in accordance with applicable law, limited to </w:t>
      </w:r>
      <w:r>
        <w:rPr>
          <w:rFonts w:cs="Arial Narrow" w:ascii="Arial Narrow" w:hAnsi="Arial Narrow"/>
          <w:sz w:val="20"/>
        </w:rPr>
        <w:t>the MaxDQ of _______ MMBtu per Day.</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rFonts w:ascii="Arial Narrow" w:hAnsi="Arial Narrow" w:cs="Arial Narrow"/>
          <w:bCs/>
          <w:sz w:val="20"/>
        </w:rPr>
      </w:pPr>
      <w:r>
        <w:rPr>
          <w:rFonts w:cs="Arial Narrow" w:ascii="Arial Narrow" w:hAnsi="Arial Narrow"/>
          <w:b/>
          <w:sz w:val="20"/>
        </w:rPr>
        <w:t>DELIVERY/(POOLING) POINT(S):</w:t>
      </w:r>
      <w:r>
        <w:rPr>
          <w:rFonts w:cs="Arial Narrow" w:ascii="Arial Narrow" w:hAnsi="Arial Narrow"/>
          <w:sz w:val="20"/>
        </w:rPr>
        <w:t xml:space="preserve">  </w:t>
      </w:r>
    </w:p>
    <w:p>
      <w:pPr>
        <w:pStyle w:val="Normal"/>
        <w:widowControl/>
        <w:jc w:val="both"/>
        <w:rPr>
          <w:rFonts w:ascii="Arial Narrow" w:hAnsi="Arial Narrow" w:cs="Arial Narrow"/>
          <w:b/>
          <w:bCs/>
          <w:sz w:val="20"/>
        </w:rPr>
      </w:pPr>
      <w:r>
        <w:rPr>
          <w:rFonts w:cs="Arial Narrow" w:ascii="Arial Narrow" w:hAnsi="Arial Narrow"/>
          <w:b/>
          <w:bCs/>
          <w:sz w:val="20"/>
        </w:rPr>
      </w:r>
    </w:p>
    <w:p>
      <w:pPr>
        <w:pStyle w:val="Normal"/>
        <w:widowControl/>
        <w:jc w:val="both"/>
        <w:rPr>
          <w:rFonts w:ascii="Arial Narrow" w:hAnsi="Arial Narrow" w:cs="Arial Narrow"/>
          <w:color w:val="0000FF"/>
          <w:sz w:val="20"/>
        </w:rPr>
      </w:pPr>
      <w:r>
        <w:rPr>
          <w:rFonts w:cs="Arial Narrow" w:ascii="Arial Narrow" w:hAnsi="Arial Narrow"/>
          <w:b/>
          <w:sz w:val="20"/>
        </w:rPr>
        <w:t xml:space="preserve">PERIOD OF DELIVERY:  </w:t>
      </w:r>
    </w:p>
    <w:p>
      <w:pPr>
        <w:pStyle w:val="Normal"/>
        <w:widowControl/>
        <w:jc w:val="both"/>
        <w:rPr>
          <w:rFonts w:ascii="Arial Narrow" w:hAnsi="Arial Narrow" w:cs="Arial Narrow"/>
          <w:b/>
          <w:color w:val="0000FF"/>
          <w:sz w:val="20"/>
        </w:rPr>
      </w:pPr>
      <w:r>
        <w:rPr>
          <w:rFonts w:cs="Arial Narrow" w:ascii="Arial Narrow" w:hAnsi="Arial Narrow"/>
          <w:b/>
          <w:color w:val="0000FF"/>
          <w:sz w:val="20"/>
        </w:rPr>
      </w:r>
    </w:p>
    <w:p>
      <w:pPr>
        <w:pStyle w:val="Normal"/>
        <w:widowControl/>
        <w:tabs>
          <w:tab w:val="clear" w:pos="720"/>
          <w:tab w:val="left" w:pos="5850" w:leader="none"/>
        </w:tabs>
        <w:jc w:val="both"/>
        <w:rPr/>
      </w:pPr>
      <w:r>
        <w:rPr>
          <w:rFonts w:cs="Arial Narrow" w:ascii="Arial Narrow" w:hAnsi="Arial Narrow"/>
          <w:b/>
          <w:sz w:val="20"/>
        </w:rPr>
        <w:t xml:space="preserve">CONTRACT PRICE:  </w:t>
      </w:r>
      <w:r>
        <w:rPr>
          <w:rFonts w:cs="Arial Narrow" w:ascii="Arial Narrow" w:hAnsi="Arial Narrow"/>
          <w:sz w:val="20"/>
        </w:rPr>
        <w:t>Buyer shall pay a price per MMBtu (in each case, the "</w:t>
      </w:r>
      <w:r>
        <w:rPr>
          <w:rFonts w:cs="Arial Narrow" w:ascii="Arial Narrow" w:hAnsi="Arial Narrow"/>
          <w:sz w:val="20"/>
          <w:u w:val="single"/>
        </w:rPr>
        <w:t>Contract Price</w:t>
      </w:r>
      <w:r>
        <w:rPr>
          <w:rFonts w:cs="Arial Narrow" w:ascii="Arial Narrow" w:hAnsi="Arial Narrow"/>
          <w:sz w:val="20"/>
        </w:rPr>
        <w:t xml:space="preserve">"), determined on a dry basis in accordance with Buyer's transportation contract, </w:t>
      </w:r>
      <w:r>
        <w:rPr>
          <w:rFonts w:cs="Arial Narrow" w:ascii="Arial Narrow" w:hAnsi="Arial Narrow"/>
          <w:bCs/>
          <w:sz w:val="20"/>
        </w:rPr>
        <w:t>for 100% of the quantity of gas delivered hereunder</w:t>
      </w:r>
      <w:r>
        <w:rPr>
          <w:rFonts w:cs="Arial Narrow" w:ascii="Arial Narrow" w:hAnsi="Arial Narrow"/>
          <w:b/>
          <w:sz w:val="20"/>
        </w:rPr>
        <w:t xml:space="preserve"> </w:t>
      </w:r>
      <w:r>
        <w:rPr>
          <w:rFonts w:cs="Arial Narrow" w:ascii="Arial Narrow" w:hAnsi="Arial Narrow"/>
          <w:sz w:val="20"/>
        </w:rPr>
        <w:t xml:space="preserve">each month, equal to ___________ LESS any and all costs and expenses of Buyer attributable to the compression, dehydration, gathering, fuel, transporting and other post production operations necessary to transport the gas delivered hereunder to the Delivery Point(s) </w:t>
      </w:r>
      <w:r>
        <w:rPr>
          <w:rFonts w:cs="Arial Narrow" w:ascii="Arial Narrow" w:hAnsi="Arial Narrow"/>
          <w:b/>
          <w:sz w:val="20"/>
        </w:rPr>
        <w:t>(</w:t>
      </w:r>
      <w:r>
        <w:rPr>
          <w:rFonts w:cs="Arial Narrow" w:ascii="Arial Narrow" w:hAnsi="Arial Narrow"/>
          <w:sz w:val="20"/>
        </w:rPr>
        <w:t>the "</w:t>
      </w:r>
      <w:r>
        <w:rPr>
          <w:rFonts w:cs="Arial Narrow" w:ascii="Arial Narrow" w:hAnsi="Arial Narrow"/>
          <w:sz w:val="20"/>
          <w:u w:val="single"/>
        </w:rPr>
        <w:t>Deduction</w:t>
      </w:r>
      <w:r>
        <w:rPr>
          <w:rFonts w:cs="Arial Narrow" w:ascii="Arial Narrow" w:hAnsi="Arial Narrow"/>
          <w:sz w:val="20"/>
        </w:rPr>
        <w:t xml:space="preserve">").  </w:t>
      </w:r>
    </w:p>
    <w:p>
      <w:pPr>
        <w:pStyle w:val="Normal"/>
        <w:widowControl/>
        <w:tabs>
          <w:tab w:val="clear" w:pos="720"/>
          <w:tab w:val="left" w:pos="5850" w:leader="none"/>
        </w:tabs>
        <w:jc w:val="both"/>
        <w:rPr/>
      </w:pPr>
      <w:r>
        <w:rPr>
          <w:rFonts w:eastAsia="Arial Narrow" w:cs="Arial Narrow" w:ascii="Arial Narrow" w:hAnsi="Arial Narrow"/>
          <w:b/>
          <w:sz w:val="20"/>
        </w:rPr>
        <w:t xml:space="preserve"> </w:t>
      </w:r>
      <w:r>
        <w:rPr>
          <w:rFonts w:cs="Arial Narrow" w:ascii="Arial Narrow" w:hAnsi="Arial Narrow"/>
          <w:sz w:val="20"/>
        </w:rPr>
        <w:t>If any referenced index is not available in the future, and the Parties do not agree to an alternate as of the end of the first month for which the Contract Price could not be determined, then the determination of a replacement index shall be subject to arbitration.</w:t>
      </w:r>
    </w:p>
    <w:p>
      <w:pPr>
        <w:pStyle w:val="Normal"/>
        <w:widowControl/>
        <w:tabs>
          <w:tab w:val="clear" w:pos="720"/>
          <w:tab w:val="left" w:pos="5850" w:leader="none"/>
        </w:tabs>
        <w:jc w:val="both"/>
        <w:rPr>
          <w:rFonts w:ascii="Arial Narrow" w:hAnsi="Arial Narrow" w:cs="Arial Narrow"/>
          <w:sz w:val="20"/>
        </w:rPr>
      </w:pPr>
      <w:r>
        <w:rPr>
          <w:rFonts w:cs="Arial Narrow" w:ascii="Arial Narrow" w:hAnsi="Arial Narrow"/>
          <w:sz w:val="20"/>
        </w:rPr>
      </w:r>
    </w:p>
    <w:p>
      <w:pPr>
        <w:pStyle w:val="Normal"/>
        <w:widowControl/>
        <w:tabs>
          <w:tab w:val="clear" w:pos="720"/>
          <w:tab w:val="left" w:pos="5850" w:leader="none"/>
        </w:tabs>
        <w:jc w:val="both"/>
        <w:rPr>
          <w:rFonts w:ascii="Arial Narrow" w:hAnsi="Arial Narrow" w:cs="Arial Narrow"/>
          <w:sz w:val="20"/>
        </w:rPr>
      </w:pPr>
      <w:r>
        <w:rPr>
          <w:rFonts w:cs="Arial Narrow" w:ascii="Arial Narrow" w:hAnsi="Arial Narrow"/>
          <w:b/>
          <w:bCs/>
          <w:sz w:val="20"/>
        </w:rPr>
        <w:t xml:space="preserve">VARIANCE FROM NOMINATON:  </w:t>
      </w:r>
      <w:r>
        <w:rPr>
          <w:rFonts w:cs="Arial Narrow" w:ascii="Arial Narrow" w:hAnsi="Arial Narrow"/>
          <w:sz w:val="20"/>
        </w:rPr>
        <w:t xml:space="preserve">Should the Nomination vary more than a 5 percent range for any day due to production variances, Seller shall provide to Buyer facsimile notice of such variance not later than noon of the business day prior to Buyer's transporter's nomination deadline for the first applicable day.  The Nomination shall become the variance minus or plus the former Nomination.  </w:t>
      </w:r>
      <w:r>
        <w:rPr>
          <w:rFonts w:cs="Arial Narrow" w:ascii="Arial Narrow" w:hAnsi="Arial Narrow"/>
          <w:sz w:val="20"/>
          <w:szCs w:val="18"/>
        </w:rPr>
        <w:t>Seller shall be responsible for any costs or fees incurred by Buyer as the result of such variance and Buyer may deduct all such fees from proceeds due Seller.  I</w:t>
      </w:r>
      <w:r>
        <w:rPr>
          <w:rFonts w:cs="Arial Narrow" w:ascii="Arial Narrow" w:hAnsi="Arial Narrow"/>
          <w:sz w:val="20"/>
        </w:rPr>
        <w:t xml:space="preserve">n the event that Seller fails to provide Buyer facsimile notice of such variance by noon of the business day prior to Buyer’s transporter’s nomination deadline, </w:t>
      </w:r>
      <w:r>
        <w:rPr>
          <w:rFonts w:cs="Arial Narrow" w:ascii="Arial Narrow" w:hAnsi="Arial Narrow"/>
          <w:sz w:val="20"/>
          <w:szCs w:val="18"/>
        </w:rPr>
        <w:t xml:space="preserve">the Contract Price for such variant quantity shall be the </w:t>
      </w:r>
      <w:r>
        <w:rPr>
          <w:rFonts w:cs="Arial Narrow" w:ascii="Arial Narrow" w:hAnsi="Arial Narrow"/>
          <w:color w:val="000000"/>
          <w:sz w:val="20"/>
        </w:rPr>
        <w:t xml:space="preserve">"Absolute Low" price stated in </w:t>
      </w:r>
      <w:r>
        <w:rPr>
          <w:rFonts w:cs="Arial Narrow" w:ascii="Arial Narrow" w:hAnsi="Arial Narrow"/>
          <w:color w:val="000000"/>
          <w:sz w:val="20"/>
          <w:u w:val="single"/>
        </w:rPr>
        <w:t>Gas Daily</w:t>
      </w:r>
      <w:r>
        <w:rPr>
          <w:rFonts w:cs="Arial Narrow" w:ascii="Arial Narrow" w:hAnsi="Arial Narrow"/>
          <w:color w:val="000000"/>
          <w:sz w:val="20"/>
        </w:rPr>
        <w:t xml:space="preserve">® (Financial Times Energy), or successor publication, in the column "Daily Price Survey" </w:t>
      </w:r>
      <w:r>
        <w:rPr>
          <w:rFonts w:cs="Arial Narrow" w:ascii="Arial Narrow" w:hAnsi="Arial Narrow"/>
          <w:sz w:val="20"/>
        </w:rPr>
        <w:t>for the relevant gas day for _______________________ for each gas day that the gas delivered by Seller hereunder is 5 percent in excess of the Nomination</w:t>
      </w:r>
      <w:r>
        <w:rPr>
          <w:rFonts w:cs="Arial Narrow" w:ascii="Arial Narrow" w:hAnsi="Arial Narrow"/>
          <w:sz w:val="20"/>
          <w:szCs w:val="18"/>
        </w:rPr>
        <w:t>.  Notwithstanding the foregoing, nothing herein shall obligate the Buyer to take any gas in excess of the MaxDQ.</w:t>
      </w:r>
    </w:p>
    <w:p>
      <w:pPr>
        <w:pStyle w:val="Normal"/>
        <w:widowControl/>
        <w:jc w:val="both"/>
        <w:rPr>
          <w:rFonts w:ascii="Arial Narrow" w:hAnsi="Arial Narrow" w:cs="Arial Narrow"/>
          <w:sz w:val="20"/>
        </w:rPr>
      </w:pPr>
      <w:r>
        <w:rPr>
          <w:rFonts w:cs="Arial Narrow" w:ascii="Arial Narrow" w:hAnsi="Arial Narrow"/>
          <w:sz w:val="20"/>
        </w:rPr>
      </w:r>
    </w:p>
    <w:tbl>
      <w:tblPr>
        <w:tblW w:w="10908" w:type="dxa"/>
        <w:jc w:val="start"/>
        <w:tblInd w:w="0" w:type="dxa"/>
        <w:tblLayout w:type="fixed"/>
        <w:tblCellMar>
          <w:top w:w="0" w:type="dxa"/>
          <w:start w:w="108" w:type="dxa"/>
          <w:bottom w:w="0" w:type="dxa"/>
          <w:end w:w="108" w:type="dxa"/>
        </w:tblCellMar>
      </w:tblPr>
      <w:tblGrid>
        <w:gridCol w:w="5508"/>
        <w:gridCol w:w="5400"/>
      </w:tblGrid>
      <w:tr>
        <w:trPr/>
        <w:tc>
          <w:tcPr>
            <w:tcW w:w="5508" w:type="dxa"/>
            <w:tcBorders>
              <w:top w:val="single" w:sz="6" w:space="0" w:color="000000"/>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NOTICE AND COMMUNICATION TO COMPANY, AS FOLLOWS:</w:t>
            </w:r>
          </w:p>
        </w:tc>
        <w:tc>
          <w:tcPr>
            <w:tcW w:w="5400" w:type="dxa"/>
            <w:tcBorders>
              <w:top w:val="single" w:sz="6" w:space="0" w:color="000000"/>
              <w:end w:val="single" w:sz="6" w:space="0" w:color="000000"/>
            </w:tcBorders>
          </w:tcPr>
          <w:p>
            <w:pPr>
              <w:pStyle w:val="Normal"/>
              <w:widowControl/>
              <w:snapToGrid w:val="false"/>
              <w:jc w:val="both"/>
              <w:rPr>
                <w:rFonts w:ascii="Arial Narrow" w:hAnsi="Arial Narrow" w:cs="Arial Narrow"/>
                <w:b/>
                <w:sz w:val="20"/>
              </w:rPr>
            </w:pPr>
            <w:r>
              <w:rPr>
                <w:rFonts w:cs="Arial Narrow" w:ascii="Arial Narrow" w:hAnsi="Arial Narrow"/>
                <w:b/>
                <w:sz w:val="20"/>
              </w:rPr>
            </w:r>
          </w:p>
        </w:tc>
      </w:tr>
      <w:tr>
        <w:trPr/>
        <w:tc>
          <w:tcPr>
            <w:tcW w:w="5508" w:type="dxa"/>
            <w:tcBorders>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NOTICE TO COMPANY:</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BILLING, INVOICES AND ACCOUNTING MATTERS TO COMPANY:</w:t>
            </w:r>
          </w:p>
        </w:tc>
      </w:tr>
      <w:tr>
        <w:trPr/>
        <w:tc>
          <w:tcPr>
            <w:tcW w:w="5508" w:type="dxa"/>
            <w:tcBorders>
              <w:start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ENA Upstream Company, LLC</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P. O. Box 4428</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 xml:space="preserve">Houston, Texas  77210-4428 </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Attn:  Deal Clearing and Documentation Group</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Facsimile No. (713) 646-4816</w:t>
            </w:r>
          </w:p>
        </w:tc>
        <w:tc>
          <w:tcPr>
            <w:tcW w:w="5400" w:type="dxa"/>
            <w:tcBorders>
              <w:end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ENA Upstream Company, LLC</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P. O. Box 4428</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Houston, Texas  77210-4428</w:t>
            </w:r>
          </w:p>
          <w:p>
            <w:pPr>
              <w:pStyle w:val="Normal"/>
              <w:widowControl/>
              <w:tabs>
                <w:tab w:val="clear" w:pos="720"/>
                <w:tab w:val="left" w:pos="5580" w:leader="none"/>
              </w:tabs>
              <w:jc w:val="both"/>
              <w:rPr>
                <w:rFonts w:ascii="Arial Narrow" w:hAnsi="Arial Narrow" w:cs="Arial Narrow"/>
                <w:sz w:val="20"/>
              </w:rPr>
            </w:pPr>
            <w:r>
              <w:rPr>
                <w:rFonts w:eastAsia="Arial Narrow" w:cs="Arial Narrow" w:ascii="Arial Narrow" w:hAnsi="Arial Narrow"/>
                <w:sz w:val="20"/>
              </w:rPr>
              <w:t xml:space="preserve"> </w:t>
            </w:r>
            <w:r>
              <w:rPr>
                <w:rFonts w:cs="Arial Narrow" w:ascii="Arial Narrow" w:hAnsi="Arial Narrow"/>
                <w:sz w:val="20"/>
              </w:rPr>
              <w:t>Attn: Client Services</w:t>
            </w:r>
          </w:p>
          <w:p>
            <w:pPr>
              <w:pStyle w:val="Normal"/>
              <w:widowControl/>
              <w:jc w:val="both"/>
              <w:rPr>
                <w:rFonts w:ascii="Arial Narrow" w:hAnsi="Arial Narrow" w:cs="Arial Narrow"/>
                <w:sz w:val="20"/>
              </w:rPr>
            </w:pPr>
            <w:r>
              <w:rPr>
                <w:rFonts w:cs="Arial Narrow" w:ascii="Arial Narrow" w:hAnsi="Arial Narrow"/>
                <w:sz w:val="20"/>
              </w:rPr>
              <w:t>Facsimile No. (713) 646-8420</w:t>
            </w:r>
          </w:p>
        </w:tc>
      </w:tr>
      <w:tr>
        <w:trPr/>
        <w:tc>
          <w:tcPr>
            <w:tcW w:w="5508" w:type="dxa"/>
            <w:tcBorders>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WIRE PAYMENTS TO COMPANY:</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NOMINATIONS TO COMPANY:</w:t>
            </w:r>
          </w:p>
        </w:tc>
      </w:tr>
      <w:tr>
        <w:trPr/>
        <w:tc>
          <w:tcPr>
            <w:tcW w:w="5508" w:type="dxa"/>
            <w:tcBorders>
              <w:start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Bank of America, N.A. Dallas</w:t>
            </w:r>
          </w:p>
        </w:tc>
        <w:tc>
          <w:tcPr>
            <w:tcW w:w="5400" w:type="dxa"/>
            <w:tcBorders>
              <w:end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1(800)356-9427/1(800)FLOWGAS or George Smith (713) 853-6993</w:t>
            </w:r>
          </w:p>
        </w:tc>
      </w:tr>
      <w:tr>
        <w:trPr/>
        <w:tc>
          <w:tcPr>
            <w:tcW w:w="5508" w:type="dxa"/>
            <w:tcBorders>
              <w:start w:val="single" w:sz="6" w:space="0" w:color="000000"/>
            </w:tcBorders>
          </w:tcPr>
          <w:p>
            <w:pPr>
              <w:pStyle w:val="Normal"/>
              <w:widowControl/>
              <w:jc w:val="both"/>
              <w:rPr/>
            </w:pPr>
            <w:r>
              <w:rPr>
                <w:rFonts w:cs="Arial Narrow" w:ascii="Arial Narrow" w:hAnsi="Arial Narrow"/>
                <w:sz w:val="20"/>
              </w:rPr>
              <w:t xml:space="preserve">ABA Routing: </w:t>
            </w:r>
            <w:r>
              <w:rPr>
                <w:rFonts w:cs="Arial Narrow" w:ascii="Arial Narrow" w:hAnsi="Arial Narrow"/>
                <w:b/>
                <w:sz w:val="20"/>
              </w:rPr>
              <w:t>111000012</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SCHEDULING CONFIRMATIONS TO COMPANY:</w:t>
            </w:r>
          </w:p>
        </w:tc>
      </w:tr>
      <w:tr>
        <w:trPr/>
        <w:tc>
          <w:tcPr>
            <w:tcW w:w="5508" w:type="dxa"/>
            <w:tcBorders>
              <w:start w:val="single" w:sz="6" w:space="0" w:color="000000"/>
              <w:bottom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 xml:space="preserve">Account: </w:t>
            </w:r>
            <w:r>
              <w:rPr>
                <w:rFonts w:cs="Arial Narrow" w:ascii="Arial Narrow" w:hAnsi="Arial Narrow"/>
                <w:b/>
                <w:sz w:val="18"/>
              </w:rPr>
              <w:t>3751777485</w:t>
            </w:r>
          </w:p>
        </w:tc>
        <w:tc>
          <w:tcPr>
            <w:tcW w:w="5400" w:type="dxa"/>
            <w:tcBorders>
              <w:bottom w:val="single" w:sz="6" w:space="0" w:color="000000"/>
              <w:end w:val="single" w:sz="6" w:space="0" w:color="000000"/>
            </w:tcBorders>
          </w:tcPr>
          <w:p>
            <w:pPr>
              <w:pStyle w:val="Normal"/>
              <w:widowControl/>
              <w:jc w:val="both"/>
              <w:rPr>
                <w:rFonts w:ascii="Arial Narrow" w:hAnsi="Arial Narrow" w:cs="Arial Narrow"/>
                <w:sz w:val="20"/>
              </w:rPr>
            </w:pPr>
            <w:r>
              <w:rPr>
                <w:rFonts w:cs="Arial Narrow" w:ascii="Arial Narrow" w:hAnsi="Arial Narrow"/>
                <w:sz w:val="20"/>
              </w:rPr>
              <w:t>Attn: ECT Gas Trading, Facsimile No.: (713) 646-2531</w:t>
            </w:r>
          </w:p>
        </w:tc>
      </w:tr>
    </w:tbl>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pPr>
      <w:r>
        <w:rPr>
          <w:rFonts w:cs="Arial Narrow" w:ascii="Arial Narrow" w:hAnsi="Arial Narrow"/>
          <w:sz w:val="20"/>
        </w:rPr>
        <w:t>This Confirmation is being provided pursuant to and in accordance with the ENFOLIO WELLHEAD POOLING POINT PURCHASE GENERAL TERMS &amp; CONDITIONS (the "</w:t>
      </w:r>
      <w:r>
        <w:rPr>
          <w:rFonts w:cs="Arial Narrow" w:ascii="Arial Narrow" w:hAnsi="Arial Narrow"/>
          <w:sz w:val="20"/>
          <w:u w:val="single"/>
        </w:rPr>
        <w:t>GTC</w:t>
      </w:r>
      <w:r>
        <w:rPr>
          <w:rFonts w:cs="Arial Narrow" w:ascii="Arial Narrow" w:hAnsi="Arial Narrow"/>
          <w:sz w:val="20"/>
        </w:rPr>
        <w:t>") and constitutes part of and is subject to all of the provisions of the GTC.  Company does hereby adopt its letterhead, including its address, as its signature in respect of the identification of Company and the authentication by Company of this Confirmation.  Any objection of Customer to this Confirmation must be made by written notice to Company within 10 days of receipt of same.</w:t>
      </w:r>
      <w:r>
        <w:rPr>
          <w:rFonts w:cs="Arial Narrow" w:ascii="Arial Narrow" w:hAnsi="Arial Narrow"/>
          <w:b/>
          <w:sz w:val="20"/>
        </w:rPr>
        <w:t xml:space="preserve">  </w:t>
      </w:r>
      <w:r>
        <w:rPr>
          <w:rFonts w:cs="Arial Narrow" w:ascii="Arial Narrow" w:hAnsi="Arial Narrow"/>
          <w:sz w:val="20"/>
        </w:rPr>
        <w:t xml:space="preserve">This Confirmation shall supersede all prior confirmations of the Transaction issued thereunder, if any, from and after the commencement date of the above stated Period of Delivery, but shall have no effect on such prior confirmations as they apply to dates prior to the commencement date of the above stated Period of Delivery. </w:t>
      </w:r>
      <w:r>
        <w:rPr>
          <w:rFonts w:cs="Arial Narrow" w:ascii="Arial Narrow" w:hAnsi="Arial Narrow"/>
          <w:b/>
          <w:sz w:val="20"/>
        </w:rPr>
        <w:t>The parties intend that this GTC and the Confirmation shall govern the Transaction until superseded by contract restatement.</w:t>
      </w:r>
      <w:r>
        <w:rPr>
          <w:rFonts w:cs="Arial Narrow" w:ascii="Arial Narrow" w:hAnsi="Arial Narrow"/>
          <w:sz w:val="20"/>
        </w:rPr>
        <w:t xml:space="preserve">  Each party shall not disclose the terms of this Transaction to a third party (other than the party's and its affiliates' employees, lenders, counsel, or accountants, or prospective purchasers hereof,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GTC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  </w:t>
        <w:tab/>
        <w:tab/>
        <w:tab/>
        <w:tab/>
        <w:tab/>
        <w:tab/>
        <w:tab/>
        <w:tab/>
        <w:tab/>
        <w:tab/>
        <w:tab/>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r>
    </w:p>
    <w:sectPr>
      <w:footerReference w:type="default" r:id="rId3"/>
      <w:footerReference w:type="first" r:id="rId4"/>
      <w:type w:val="nextPage"/>
      <w:pgSz w:w="12240" w:h="15840"/>
      <w:pgMar w:left="720" w:right="720" w:gutter="0" w:header="0" w:top="720"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sz w:val="26"/>
    </w:rPr>
  </w:style>
  <w:style w:type="paragraph" w:styleId="BodyText2">
    <w:name w:val="Body Text 2"/>
    <w:basedOn w:val="Normal"/>
    <w:qFormat/>
    <w:pPr>
      <w:tabs>
        <w:tab w:val="clear" w:pos="720"/>
        <w:tab w:val="left" w:pos="2412" w:leader="none"/>
      </w:tabs>
      <w:ind w:hanging="0" w:start="1962" w:end="0"/>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103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2001-08-08T16:37:00Z</dcterms:created>
  <dc:creator>ECT</dc:creator>
  <dc:description/>
  <dc:language>en-CA</dc:language>
  <cp:lastModifiedBy>gnemec</cp:lastModifiedBy>
  <dcterms:modified xsi:type="dcterms:W3CDTF">2001-08-09T13:53:00Z</dcterms:modified>
  <cp:revision>10</cp:revision>
  <dc:subject/>
  <dc:title>881246</dc:title>
</cp:coreProperties>
</file>