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Enron North America Corp. ("Party B")</w:t>
      </w:r>
    </w:p>
    <w:p>
      <w:pPr>
        <w:pStyle w:val="Normal"/>
        <w:rPr>
          <w:sz w:val="22"/>
        </w:rPr>
      </w:pPr>
      <w:r>
        <w:rPr>
          <w:sz w:val="22"/>
        </w:rPr>
        <w:t>Attention:</w:t>
        <w:tab/>
        <w:t>[                 ]</w:t>
      </w:r>
    </w:p>
    <w:p>
      <w:pPr>
        <w:pStyle w:val="Normal"/>
        <w:rPr>
          <w:sz w:val="22"/>
        </w:rPr>
      </w:pPr>
      <w:r>
        <w:rPr>
          <w:sz w:val="22"/>
        </w:rPr>
        <w:t>Fax No.:</w:t>
        <w:tab/>
        <w:t>[(   )         ]</w:t>
      </w:r>
    </w:p>
    <w:p>
      <w:pPr>
        <w:pStyle w:val="Normal"/>
        <w:rPr>
          <w:sz w:val="22"/>
        </w:rPr>
      </w:pPr>
      <w:r>
        <w:rPr>
          <w:sz w:val="22"/>
        </w:rPr>
        <w:t>From:</w:t>
        <w:tab/>
        <w:tab/>
        <w:t>Risk Management &amp; Trading Corp.("Party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5, 1994,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28,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9/29/00]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[(The settlement price on the Pricing Date for the March, 2002 NYMEX Henry Hub Natural Gas Futures Contract for the applicable Calculation Period, as set forth on Exhibit I attached hereto [plus AECO basis]) multipled by the FX Rate and the MMbtu conversion rate]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6(e)(i)(3) shall apply for purposes of calculating the Settlement Amount and will be payable as provided in Section 6(e)(i)(3) assuming that the party electing to terminate is the Defaulting Party.</w:t>
            </w:r>
          </w:p>
          <w:p>
            <w:pPr>
              <w:pStyle w:val="Normal"/>
              <w:tabs>
                <w:tab w:val="clear" w:pos="720"/>
                <w:tab w:val="left" w:pos="342" w:leader="none"/>
              </w:tabs>
              <w:ind w:hanging="360" w:start="342" w:end="0"/>
              <w:jc w:val="both"/>
              <w:rPr>
                <w:sz w:val="22"/>
              </w:rPr>
            </w:pPr>
            <w:r>
              <w:rPr>
                <w:sz w:val="22"/>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     ]</w:t>
            </w:r>
          </w:p>
          <w:p>
            <w:pPr>
              <w:pStyle w:val="Normal"/>
              <w:jc w:val="both"/>
              <w:rPr>
                <w:sz w:val="22"/>
              </w:rPr>
            </w:pPr>
            <w:r>
              <w:rPr>
                <w:sz w:val="22"/>
              </w:rPr>
              <w:t>Acct. No.  [          ]</w:t>
            </w:r>
          </w:p>
          <w:p>
            <w:pPr>
              <w:pStyle w:val="Normal"/>
              <w:jc w:val="both"/>
              <w:rPr/>
            </w:pPr>
            <w:r>
              <w:rPr/>
              <w:t xml:space="preserve"> </w:t>
            </w:r>
            <w:r>
              <w:rPr/>
              <w:t>For credit of Enron Risk Management &amp; Trading Corp.</w:t>
            </w:r>
          </w:p>
          <w:p>
            <w:pPr>
              <w:pStyle w:val="BodyText2"/>
              <w:rPr/>
            </w:pPr>
            <w:r>
              <w:rPr/>
              <w:t>Acct. No.  [            ]</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r>
        <w:br w:type="page"/>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Chase Manhattan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29, 2000 – December 29, 2000</w:t>
            </w:r>
          </w:p>
        </w:tc>
        <w:tc>
          <w:tcPr>
            <w:tcW w:w="2610" w:type="dxa"/>
            <w:tcBorders/>
          </w:tcPr>
          <w:p>
            <w:pPr>
              <w:pStyle w:val="BodyText"/>
              <w:ind w:start="162" w:end="0"/>
              <w:rPr>
                <w:b/>
              </w:rPr>
            </w:pPr>
            <w:r>
              <w:rPr>
                <w:b/>
              </w:rPr>
              <w:t>December 29, 2000</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December 30, 2000 – March 29, 2001</w:t>
            </w:r>
          </w:p>
        </w:tc>
        <w:tc>
          <w:tcPr>
            <w:tcW w:w="2610" w:type="dxa"/>
            <w:tcBorders/>
          </w:tcPr>
          <w:p>
            <w:pPr>
              <w:pStyle w:val="BodyText"/>
              <w:ind w:start="162" w:end="0"/>
              <w:rPr>
                <w:b/>
              </w:rPr>
            </w:pPr>
            <w:r>
              <w:rPr>
                <w:b/>
              </w:rPr>
              <w:t>March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30, 2001 – June 29, 2001</w:t>
            </w:r>
          </w:p>
        </w:tc>
        <w:tc>
          <w:tcPr>
            <w:tcW w:w="2610" w:type="dxa"/>
            <w:tcBorders/>
          </w:tcPr>
          <w:p>
            <w:pPr>
              <w:pStyle w:val="BodyText"/>
              <w:ind w:start="162" w:end="0"/>
              <w:rPr>
                <w:b/>
              </w:rPr>
            </w:pPr>
            <w:r>
              <w:rPr>
                <w:b/>
              </w:rPr>
              <w:t>June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June 30, 2001 – September 27, 2001</w:t>
            </w:r>
          </w:p>
        </w:tc>
        <w:tc>
          <w:tcPr>
            <w:tcW w:w="2610" w:type="dxa"/>
            <w:tcBorders/>
          </w:tcPr>
          <w:p>
            <w:pPr>
              <w:pStyle w:val="BodyText"/>
              <w:ind w:start="162" w:end="0"/>
              <w:rPr>
                <w:b/>
              </w:rPr>
            </w:pPr>
            <w:r>
              <w:rPr>
                <w:b/>
              </w:rPr>
              <w:t>September 27,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p>
      <w:pPr>
        <w:pStyle w:val="Normal"/>
        <w:jc w:val="center"/>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/mnt/main-storage/datasets/enron-docs/doc/ENARMTnymex1.doc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/mnt/main-storage/datasets/enron-docs/doc/ENARMTnymex1.doc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2000-09-27T18:24:00Z</dcterms:created>
  <dc:creator>ECT</dc:creator>
  <dc:description/>
  <dc:language>en-CA</dc:language>
  <cp:lastModifiedBy>kellis</cp:lastModifiedBy>
  <cp:lastPrinted>2000-09-27T18:29:00Z</cp:lastPrinted>
  <dcterms:modified xsi:type="dcterms:W3CDTF">2000-09-27T20:59:00Z</dcterms:modified>
  <cp:revision>5</cp:revision>
  <dc:subject>Williams Energy Marketing &amp; Trading Company</dc:subject>
  <dc:title>NZ2978.1</dc:title>
</cp:coreProperties>
</file>