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Enron North America Corp. ("Party B")</w:t>
      </w:r>
    </w:p>
    <w:p>
      <w:pPr>
        <w:pStyle w:val="Normal"/>
        <w:rPr>
          <w:sz w:val="22"/>
        </w:rPr>
      </w:pPr>
      <w:r>
        <w:rPr>
          <w:sz w:val="22"/>
        </w:rPr>
        <w:t>Attention:</w:t>
        <w:tab/>
        <w:t>[                 ]</w:t>
      </w:r>
    </w:p>
    <w:p>
      <w:pPr>
        <w:pStyle w:val="Normal"/>
        <w:rPr>
          <w:sz w:val="22"/>
        </w:rPr>
      </w:pPr>
      <w:r>
        <w:rPr>
          <w:sz w:val="22"/>
        </w:rPr>
        <w:t>Fax No.:</w:t>
        <w:tab/>
        <w:t>[(   )         ]</w:t>
      </w:r>
    </w:p>
    <w:p>
      <w:pPr>
        <w:pStyle w:val="Normal"/>
        <w:rPr>
          <w:sz w:val="22"/>
        </w:rPr>
      </w:pPr>
      <w:r>
        <w:rPr>
          <w:sz w:val="22"/>
        </w:rPr>
        <w:t>From:</w:t>
        <w:tab/>
        <w:tab/>
        <w:t>Risk Management &amp; Trading Corp.("Party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April 5, 1994,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29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Payment Dates as set forth on Exhibit I attached hereto</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C$5.989</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For each Calculation Period, the average of all settlement prices (converted by the FX Rate) for each Friday, from and including the Effective Date through and including the Pricing Date for the applicable Calculation Period, for the March, 2002 NYMEX Henry Hub Natural Gas Futures Contract as set forth on Exhibit I attached hereto</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Energy Conversion Rate:</w:t>
            </w:r>
          </w:p>
        </w:tc>
        <w:tc>
          <w:tcPr>
            <w:tcW w:w="6102" w:type="dxa"/>
            <w:tcBorders/>
          </w:tcPr>
          <w:p>
            <w:pPr>
              <w:pStyle w:val="Normal"/>
              <w:jc w:val="both"/>
              <w:rPr>
                <w:sz w:val="22"/>
              </w:rPr>
            </w:pPr>
            <w:r>
              <w:rPr>
                <w:sz w:val="22"/>
              </w:rPr>
              <w:t>“</w:t>
            </w:r>
            <w:r>
              <w:rPr>
                <w:sz w:val="22"/>
              </w:rPr>
              <w:t>Energy Conversion Rate” shall mean for conversion from Gigajoules (GJ’s”) to MMBtu, One (1) MMBtu shall be equal to 1.055056 GJ’s.  The Notional Quantity per Calculation Period shall be multiplied by the Energy Conversion Rate which will equal the equivalent Notional Quantity per Calculation Period in GJ’s.</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Indent"/>
              <w:numPr>
                <w:ilvl w:val="0"/>
                <w:numId w:val="2"/>
              </w:numPr>
              <w:rPr/>
            </w:pPr>
            <w:r>
              <w:rPr/>
              <w:t>Optional Termination:  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w:t>
            </w:r>
            <w:r>
              <w:rPr>
                <w:rFonts w:cs="Arial" w:ascii="Arial" w:hAnsi="Arial"/>
                <w:sz w:val="20"/>
              </w:rPr>
              <w:t xml:space="preserve">  </w:t>
            </w:r>
          </w:p>
          <w:p>
            <w:pPr>
              <w:pStyle w:val="Normal"/>
              <w:tabs>
                <w:tab w:val="clear" w:pos="720"/>
                <w:tab w:val="left" w:pos="342" w:leader="none"/>
              </w:tabs>
              <w:ind w:hanging="360" w:start="342" w:end="0"/>
              <w:jc w:val="both"/>
              <w:rPr>
                <w:sz w:val="22"/>
              </w:rPr>
            </w:pPr>
            <w:r>
              <w:rPr>
                <w:sz w:val="22"/>
              </w:rPr>
            </w:r>
          </w:p>
          <w:p>
            <w:pPr>
              <w:pStyle w:val="Normal"/>
              <w:tabs>
                <w:tab w:val="clear" w:pos="720"/>
                <w:tab w:val="left" w:pos="342" w:leader="none"/>
              </w:tabs>
              <w:ind w:hanging="360" w:start="342" w:end="0"/>
              <w:jc w:val="both"/>
              <w:rPr>
                <w:sz w:val="22"/>
              </w:rPr>
            </w:pPr>
            <w:r>
              <w:rPr>
                <w:sz w:val="22"/>
              </w:rPr>
              <w:t>(b)</w:t>
              <w:tab/>
              <w:t>Currency Conversion:  For the purposes of this Transaction, the Floating Price for each Friday in the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each Friday in the Calculation Period (the 'FX Rate Calculation Date'), provided, however, that if such FX Rate Calculation Date is not a Toronto Business Day, the FX Rate will be determined on the Toronto Business Day immediately preceding such FX Rate Calculation Date.</w:t>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bl>
    <w:p>
      <w:pPr>
        <w:pStyle w:val="Normal"/>
        <w:rPr/>
      </w:pPr>
      <w:r>
        <w:br w:type="page"/>
      </w: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BodyText2"/>
              <w:rPr/>
            </w:pPr>
            <w:r>
              <w:rPr/>
              <w:t>Please advise</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Risk Management &amp; Trading Corp.</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pPr>
      <w:r>
        <w:rPr/>
        <w:tab/>
        <w:tab/>
      </w:r>
    </w:p>
    <w:tbl>
      <w:tblPr>
        <w:tblW w:w="10062" w:type="dxa"/>
        <w:jc w:val="start"/>
        <w:tblInd w:w="378" w:type="dxa"/>
        <w:tblLayout w:type="fixed"/>
        <w:tblCellMar>
          <w:top w:w="0" w:type="dxa"/>
          <w:start w:w="108" w:type="dxa"/>
          <w:bottom w:w="0" w:type="dxa"/>
          <w:end w:w="108" w:type="dxa"/>
        </w:tblCellMar>
      </w:tblPr>
      <w:tblGrid>
        <w:gridCol w:w="3870"/>
        <w:gridCol w:w="2070"/>
        <w:gridCol w:w="2160"/>
        <w:gridCol w:w="1962"/>
      </w:tblGrid>
      <w:tr>
        <w:trPr/>
        <w:tc>
          <w:tcPr>
            <w:tcW w:w="3870" w:type="dxa"/>
            <w:tcBorders/>
          </w:tcPr>
          <w:p>
            <w:pPr>
              <w:pStyle w:val="BodyText"/>
              <w:snapToGrid w:val="false"/>
              <w:ind w:start="162" w:end="0"/>
              <w:rPr>
                <w:b/>
                <w:sz w:val="20"/>
              </w:rPr>
            </w:pPr>
            <w:r>
              <w:rPr>
                <w:b/>
                <w:sz w:val="20"/>
              </w:rPr>
            </w:r>
          </w:p>
          <w:p>
            <w:pPr>
              <w:pStyle w:val="BodyText"/>
              <w:ind w:start="162" w:end="0"/>
              <w:rPr>
                <w:b/>
                <w:sz w:val="20"/>
              </w:rPr>
            </w:pPr>
            <w:r>
              <w:rPr>
                <w:b/>
                <w:sz w:val="20"/>
              </w:rPr>
              <w:t>Calculation</w:t>
            </w:r>
          </w:p>
          <w:p>
            <w:pPr>
              <w:pStyle w:val="BodyText"/>
              <w:ind w:start="162" w:end="0"/>
              <w:rPr>
                <w:b/>
                <w:sz w:val="20"/>
              </w:rPr>
            </w:pPr>
            <w:r>
              <w:rPr>
                <w:b/>
                <w:sz w:val="20"/>
              </w:rPr>
              <w:t xml:space="preserve">    </w:t>
            </w:r>
            <w:r>
              <w:rPr>
                <w:b/>
                <w:sz w:val="20"/>
              </w:rPr>
              <w:t>Period</w:t>
            </w:r>
          </w:p>
        </w:tc>
        <w:tc>
          <w:tcPr>
            <w:tcW w:w="2070" w:type="dxa"/>
            <w:tcBorders/>
          </w:tcPr>
          <w:p>
            <w:pPr>
              <w:pStyle w:val="BodyText"/>
              <w:snapToGrid w:val="false"/>
              <w:jc w:val="center"/>
              <w:rPr>
                <w:b/>
                <w:sz w:val="20"/>
              </w:rPr>
            </w:pPr>
            <w:r>
              <w:rPr>
                <w:b/>
                <w:sz w:val="20"/>
              </w:rPr>
            </w:r>
          </w:p>
          <w:p>
            <w:pPr>
              <w:pStyle w:val="BodyText"/>
              <w:jc w:val="center"/>
              <w:rPr>
                <w:b/>
                <w:sz w:val="20"/>
              </w:rPr>
            </w:pPr>
            <w:r>
              <w:rPr>
                <w:b/>
                <w:sz w:val="20"/>
              </w:rPr>
              <w:t>Pricing</w:t>
            </w:r>
          </w:p>
          <w:p>
            <w:pPr>
              <w:pStyle w:val="BodyText"/>
              <w:jc w:val="center"/>
              <w:rPr>
                <w:b/>
                <w:sz w:val="20"/>
              </w:rPr>
            </w:pPr>
            <w:r>
              <w:rPr>
                <w:b/>
                <w:sz w:val="20"/>
              </w:rPr>
              <w:t>Date</w:t>
            </w:r>
          </w:p>
        </w:tc>
        <w:tc>
          <w:tcPr>
            <w:tcW w:w="2160" w:type="dxa"/>
            <w:tcBorders/>
          </w:tcPr>
          <w:p>
            <w:pPr>
              <w:pStyle w:val="BodyText"/>
              <w:ind w:start="162" w:end="0"/>
              <w:jc w:val="center"/>
              <w:rPr>
                <w:b/>
                <w:sz w:val="20"/>
              </w:rPr>
            </w:pPr>
            <w:r>
              <w:rPr>
                <w:b/>
                <w:sz w:val="20"/>
              </w:rPr>
              <w:t>Notional Quantity</w:t>
            </w:r>
          </w:p>
          <w:p>
            <w:pPr>
              <w:pStyle w:val="BodyText"/>
              <w:ind w:start="162" w:end="0"/>
              <w:jc w:val="center"/>
              <w:rPr>
                <w:b/>
                <w:sz w:val="20"/>
              </w:rPr>
            </w:pPr>
            <w:r>
              <w:rPr>
                <w:b/>
                <w:sz w:val="20"/>
              </w:rPr>
              <w:t>per Calculation</w:t>
            </w:r>
          </w:p>
          <w:p>
            <w:pPr>
              <w:pStyle w:val="BodyText"/>
              <w:ind w:start="162" w:end="0"/>
              <w:jc w:val="center"/>
              <w:rPr>
                <w:b/>
                <w:sz w:val="20"/>
              </w:rPr>
            </w:pPr>
            <w:r>
              <w:rPr>
                <w:b/>
                <w:sz w:val="20"/>
              </w:rPr>
              <w:t>Period (GJ)</w:t>
            </w:r>
          </w:p>
        </w:tc>
        <w:tc>
          <w:tcPr>
            <w:tcW w:w="1962" w:type="dxa"/>
            <w:tcBorders/>
          </w:tcPr>
          <w:p>
            <w:pPr>
              <w:pStyle w:val="BodyText"/>
              <w:snapToGrid w:val="false"/>
              <w:ind w:start="162" w:end="0"/>
              <w:jc w:val="center"/>
              <w:rPr>
                <w:b/>
                <w:sz w:val="20"/>
              </w:rPr>
            </w:pPr>
            <w:r>
              <w:rPr>
                <w:b/>
                <w:sz w:val="20"/>
              </w:rPr>
            </w:r>
          </w:p>
          <w:p>
            <w:pPr>
              <w:pStyle w:val="BodyText"/>
              <w:ind w:start="162" w:end="0"/>
              <w:jc w:val="center"/>
              <w:rPr>
                <w:b/>
                <w:sz w:val="20"/>
              </w:rPr>
            </w:pPr>
            <w:r>
              <w:rPr>
                <w:b/>
                <w:sz w:val="20"/>
              </w:rPr>
              <w:t>Payment</w:t>
            </w:r>
          </w:p>
          <w:p>
            <w:pPr>
              <w:pStyle w:val="BodyText"/>
              <w:ind w:start="162" w:end="0"/>
              <w:jc w:val="center"/>
              <w:rPr>
                <w:b/>
                <w:sz w:val="20"/>
              </w:rPr>
            </w:pPr>
            <w:r>
              <w:rPr>
                <w:b/>
                <w:sz w:val="20"/>
              </w:rPr>
              <w:t>Date</w:t>
            </w:r>
          </w:p>
        </w:tc>
      </w:tr>
      <w:tr>
        <w:trPr/>
        <w:tc>
          <w:tcPr>
            <w:tcW w:w="3870" w:type="dxa"/>
            <w:tcBorders/>
          </w:tcPr>
          <w:p>
            <w:pPr>
              <w:pStyle w:val="BodyText"/>
              <w:rPr>
                <w:b/>
                <w:sz w:val="20"/>
              </w:rPr>
            </w:pPr>
            <w:r>
              <w:rPr>
                <w:b/>
                <w:sz w:val="20"/>
              </w:rPr>
              <w:t>------------------</w:t>
            </w:r>
          </w:p>
        </w:tc>
        <w:tc>
          <w:tcPr>
            <w:tcW w:w="2070" w:type="dxa"/>
            <w:tcBorders/>
          </w:tcPr>
          <w:p>
            <w:pPr>
              <w:pStyle w:val="BodyText"/>
              <w:jc w:val="center"/>
              <w:rPr>
                <w:b/>
                <w:sz w:val="20"/>
              </w:rPr>
            </w:pPr>
            <w:r>
              <w:rPr>
                <w:b/>
                <w:sz w:val="20"/>
              </w:rPr>
              <w:t>-----------------</w:t>
            </w:r>
          </w:p>
        </w:tc>
        <w:tc>
          <w:tcPr>
            <w:tcW w:w="2160" w:type="dxa"/>
            <w:tcBorders/>
          </w:tcPr>
          <w:p>
            <w:pPr>
              <w:pStyle w:val="BodyText"/>
              <w:ind w:firstLine="252" w:end="0"/>
              <w:jc w:val="center"/>
              <w:rPr>
                <w:b/>
                <w:sz w:val="20"/>
              </w:rPr>
            </w:pPr>
            <w:r>
              <w:rPr>
                <w:b/>
                <w:sz w:val="20"/>
              </w:rPr>
              <w:t>------------------------</w:t>
            </w:r>
          </w:p>
        </w:tc>
        <w:tc>
          <w:tcPr>
            <w:tcW w:w="1962" w:type="dxa"/>
            <w:tcBorders/>
          </w:tcPr>
          <w:p>
            <w:pPr>
              <w:pStyle w:val="BodyText"/>
              <w:jc w:val="center"/>
              <w:rPr>
                <w:b/>
                <w:sz w:val="20"/>
              </w:rPr>
            </w:pPr>
            <w:r>
              <w:rPr>
                <w:b/>
                <w:sz w:val="20"/>
              </w:rPr>
              <w:t>-------------------</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rPr>
                <w:b/>
                <w:sz w:val="20"/>
              </w:rPr>
            </w:pPr>
            <w:r>
              <w:rPr>
                <w:b/>
                <w:sz w:val="20"/>
              </w:rPr>
            </w:r>
          </w:p>
        </w:tc>
        <w:tc>
          <w:tcPr>
            <w:tcW w:w="1962" w:type="dxa"/>
            <w:tcBorders/>
          </w:tcPr>
          <w:p>
            <w:pPr>
              <w:pStyle w:val="BodyText"/>
              <w:snapToGrid w:val="false"/>
              <w:rPr>
                <w:b/>
                <w:sz w:val="20"/>
              </w:rPr>
            </w:pPr>
            <w:r>
              <w:rPr>
                <w:b/>
                <w:sz w:val="20"/>
              </w:rPr>
            </w:r>
          </w:p>
        </w:tc>
      </w:tr>
      <w:tr>
        <w:trPr/>
        <w:tc>
          <w:tcPr>
            <w:tcW w:w="3870" w:type="dxa"/>
            <w:tcBorders/>
          </w:tcPr>
          <w:p>
            <w:pPr>
              <w:pStyle w:val="BodyText"/>
              <w:rPr>
                <w:b/>
                <w:sz w:val="20"/>
              </w:rPr>
            </w:pPr>
            <w:r>
              <w:rPr>
                <w:b/>
                <w:sz w:val="20"/>
              </w:rPr>
              <w:t>September 29, 2000 – December 22, 2000</w:t>
            </w:r>
          </w:p>
        </w:tc>
        <w:tc>
          <w:tcPr>
            <w:tcW w:w="2070" w:type="dxa"/>
            <w:tcBorders/>
          </w:tcPr>
          <w:p>
            <w:pPr>
              <w:pStyle w:val="BodyText"/>
              <w:ind w:start="162" w:end="0"/>
              <w:rPr>
                <w:b/>
                <w:sz w:val="20"/>
              </w:rPr>
            </w:pPr>
            <w:r>
              <w:rPr>
                <w:b/>
                <w:sz w:val="20"/>
              </w:rPr>
              <w:t>December 22, 2000</w:t>
            </w:r>
          </w:p>
        </w:tc>
        <w:tc>
          <w:tcPr>
            <w:tcW w:w="2160" w:type="dxa"/>
            <w:tcBorders/>
          </w:tcPr>
          <w:p>
            <w:pPr>
              <w:pStyle w:val="BodyText"/>
              <w:ind w:start="72" w:end="162"/>
              <w:jc w:val="end"/>
              <w:rPr>
                <w:b/>
                <w:sz w:val="20"/>
              </w:rPr>
            </w:pPr>
            <w:r>
              <w:rPr>
                <w:b/>
                <w:sz w:val="20"/>
              </w:rPr>
              <w:t xml:space="preserve">825,854  </w:t>
            </w:r>
          </w:p>
        </w:tc>
        <w:tc>
          <w:tcPr>
            <w:tcW w:w="1962" w:type="dxa"/>
            <w:tcBorders/>
          </w:tcPr>
          <w:p>
            <w:pPr>
              <w:pStyle w:val="BodyText"/>
              <w:ind w:start="72" w:end="0"/>
              <w:rPr>
                <w:b/>
                <w:sz w:val="20"/>
              </w:rPr>
            </w:pPr>
            <w:r>
              <w:rPr>
                <w:b/>
                <w:sz w:val="20"/>
              </w:rPr>
              <w:t>December 29, 2000</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March 23, 2001</w:t>
            </w:r>
          </w:p>
        </w:tc>
        <w:tc>
          <w:tcPr>
            <w:tcW w:w="2070" w:type="dxa"/>
            <w:tcBorders/>
          </w:tcPr>
          <w:p>
            <w:pPr>
              <w:pStyle w:val="BodyText"/>
              <w:ind w:start="162" w:end="0"/>
              <w:rPr>
                <w:b/>
                <w:sz w:val="20"/>
              </w:rPr>
            </w:pPr>
            <w:r>
              <w:rPr>
                <w:b/>
                <w:sz w:val="20"/>
              </w:rPr>
              <w:t>March 23, 2001</w:t>
            </w:r>
          </w:p>
        </w:tc>
        <w:tc>
          <w:tcPr>
            <w:tcW w:w="2160" w:type="dxa"/>
            <w:tcBorders/>
          </w:tcPr>
          <w:p>
            <w:pPr>
              <w:pStyle w:val="BodyText"/>
              <w:ind w:start="72" w:end="162"/>
              <w:jc w:val="end"/>
              <w:rPr>
                <w:b/>
                <w:sz w:val="20"/>
              </w:rPr>
            </w:pPr>
            <w:r>
              <w:rPr>
                <w:b/>
                <w:sz w:val="20"/>
              </w:rPr>
              <w:t xml:space="preserve">821,417  </w:t>
            </w:r>
          </w:p>
        </w:tc>
        <w:tc>
          <w:tcPr>
            <w:tcW w:w="1962" w:type="dxa"/>
            <w:tcBorders/>
          </w:tcPr>
          <w:p>
            <w:pPr>
              <w:pStyle w:val="BodyText"/>
              <w:ind w:start="72" w:end="0"/>
              <w:rPr>
                <w:b/>
                <w:sz w:val="20"/>
              </w:rPr>
            </w:pPr>
            <w:r>
              <w:rPr>
                <w:b/>
                <w:sz w:val="20"/>
              </w:rPr>
              <w:t>March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162"/>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162"/>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June 22, 2001</w:t>
            </w:r>
          </w:p>
        </w:tc>
        <w:tc>
          <w:tcPr>
            <w:tcW w:w="2070" w:type="dxa"/>
            <w:tcBorders/>
          </w:tcPr>
          <w:p>
            <w:pPr>
              <w:pStyle w:val="BodyText"/>
              <w:ind w:start="162" w:end="0"/>
              <w:rPr>
                <w:b/>
                <w:sz w:val="20"/>
              </w:rPr>
            </w:pPr>
            <w:r>
              <w:rPr>
                <w:b/>
                <w:sz w:val="20"/>
              </w:rPr>
              <w:t>June 22, 2001</w:t>
            </w:r>
          </w:p>
        </w:tc>
        <w:tc>
          <w:tcPr>
            <w:tcW w:w="2160" w:type="dxa"/>
            <w:tcBorders/>
          </w:tcPr>
          <w:p>
            <w:pPr>
              <w:pStyle w:val="BodyText"/>
              <w:ind w:start="72" w:end="162"/>
              <w:jc w:val="end"/>
              <w:rPr>
                <w:b/>
                <w:sz w:val="20"/>
              </w:rPr>
            </w:pPr>
            <w:r>
              <w:rPr>
                <w:b/>
                <w:sz w:val="20"/>
              </w:rPr>
              <w:t xml:space="preserve">830,292  </w:t>
            </w:r>
          </w:p>
        </w:tc>
        <w:tc>
          <w:tcPr>
            <w:tcW w:w="1962" w:type="dxa"/>
            <w:tcBorders/>
          </w:tcPr>
          <w:p>
            <w:pPr>
              <w:pStyle w:val="BodyText"/>
              <w:ind w:start="72" w:end="0"/>
              <w:rPr>
                <w:b/>
                <w:sz w:val="20"/>
              </w:rPr>
            </w:pPr>
            <w:r>
              <w:rPr>
                <w:b/>
                <w:sz w:val="20"/>
              </w:rPr>
              <w:t>June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162"/>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162"/>
              <w:jc w:val="end"/>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September 21, 2001</w:t>
            </w:r>
          </w:p>
        </w:tc>
        <w:tc>
          <w:tcPr>
            <w:tcW w:w="2070" w:type="dxa"/>
            <w:tcBorders/>
          </w:tcPr>
          <w:p>
            <w:pPr>
              <w:pStyle w:val="BodyText"/>
              <w:ind w:start="162" w:end="0"/>
              <w:rPr>
                <w:b/>
                <w:sz w:val="20"/>
              </w:rPr>
            </w:pPr>
            <w:r>
              <w:rPr>
                <w:b/>
                <w:sz w:val="20"/>
              </w:rPr>
              <w:t>September 21, 2001</w:t>
            </w:r>
          </w:p>
        </w:tc>
        <w:tc>
          <w:tcPr>
            <w:tcW w:w="2160" w:type="dxa"/>
            <w:tcBorders/>
          </w:tcPr>
          <w:p>
            <w:pPr>
              <w:pStyle w:val="BodyText"/>
              <w:ind w:start="72" w:end="162"/>
              <w:jc w:val="end"/>
              <w:rPr>
                <w:b/>
                <w:sz w:val="20"/>
              </w:rPr>
            </w:pPr>
            <w:r>
              <w:rPr>
                <w:b/>
                <w:sz w:val="20"/>
              </w:rPr>
              <w:t xml:space="preserve">50,094,357  </w:t>
            </w:r>
          </w:p>
        </w:tc>
        <w:tc>
          <w:tcPr>
            <w:tcW w:w="1962" w:type="dxa"/>
            <w:tcBorders/>
          </w:tcPr>
          <w:p>
            <w:pPr>
              <w:pStyle w:val="BodyText"/>
              <w:ind w:start="72" w:end="0"/>
              <w:rPr>
                <w:b/>
                <w:sz w:val="20"/>
              </w:rPr>
            </w:pPr>
            <w:r>
              <w:rPr>
                <w:b/>
                <w:sz w:val="20"/>
              </w:rPr>
              <w:t>September 27,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2160" w:type="dxa"/>
            <w:tcBorders/>
          </w:tcPr>
          <w:p>
            <w:pPr>
              <w:pStyle w:val="BodyText"/>
              <w:snapToGrid w:val="false"/>
              <w:ind w:start="72" w:end="0"/>
              <w:rPr>
                <w:b/>
                <w:sz w:val="20"/>
              </w:rPr>
            </w:pPr>
            <w:r>
              <w:rPr>
                <w:b/>
                <w:sz w:val="20"/>
              </w:rPr>
            </w:r>
          </w:p>
        </w:tc>
        <w:tc>
          <w:tcPr>
            <w:tcW w:w="1962" w:type="dxa"/>
            <w:tcBorders/>
          </w:tcPr>
          <w:p>
            <w:pPr>
              <w:pStyle w:val="BodyText"/>
              <w:snapToGrid w:val="false"/>
              <w:ind w:start="72" w:end="0"/>
              <w:rPr>
                <w:b/>
                <w:sz w:val="20"/>
              </w:rPr>
            </w:pPr>
            <w:r>
              <w:rPr>
                <w:b/>
                <w:sz w:val="20"/>
              </w:rPr>
            </w:r>
          </w:p>
        </w:tc>
      </w:tr>
    </w:tbl>
    <w:p>
      <w:pPr>
        <w:pStyle w:val="BodyText"/>
        <w:rPr>
          <w:b/>
          <w:sz w:val="20"/>
        </w:rPr>
      </w:pPr>
      <w:r>
        <w:rPr>
          <w:b/>
          <w:sz w:val="20"/>
        </w:rPr>
      </w:r>
    </w:p>
    <w:p>
      <w:pPr>
        <w:pStyle w:val="BodyText"/>
        <w:rPr>
          <w:b/>
        </w:rPr>
      </w:pPr>
      <w:r>
        <w:rPr>
          <w:b/>
        </w:rPr>
        <w:tab/>
        <w:tab/>
      </w:r>
    </w:p>
    <w:p>
      <w:pPr>
        <w:pStyle w:val="BodyText"/>
        <w:rPr>
          <w:b/>
        </w:rPr>
      </w:pPr>
      <w:r>
        <w:rPr>
          <w:b/>
        </w:rPr>
      </w:r>
    </w:p>
    <w:p>
      <w:pPr>
        <w:pStyle w:val="BodyText"/>
        <w:rPr>
          <w:b/>
        </w:rPr>
      </w:pPr>
      <w:r>
        <w:rPr>
          <w:b/>
        </w:rPr>
      </w:r>
    </w:p>
    <w:p>
      <w:pPr>
        <w:pStyle w:val="Heading1"/>
        <w:ind w:hanging="0" w:start="0"/>
        <w:rPr/>
      </w:pPr>
      <w:r>
        <w:rPr/>
        <w:tab/>
        <w:tab/>
        <w:t>End Of Attachment</w:t>
      </w:r>
    </w:p>
    <w:p>
      <w:pPr>
        <w:pStyle w:val="BodyText"/>
        <w:rPr/>
      </w:pPr>
      <w:r>
        <w:rPr/>
      </w:r>
    </w:p>
    <w:p>
      <w:pPr>
        <w:pStyle w:val="Normal"/>
        <w:jc w:val="center"/>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/mnt/main-storage/datasets/enron-docs/doc/ENARMTnymex1-ed9ff4f40b018e6b7858d2c8cb2a5e089dfac0d965e2552eb1a5023121b5594b.doc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/mnt/main-storage/datasets/enron-docs/doc/ENARMTnymex1-ed9ff4f40b018e6b7858d2c8cb2a5e089dfac0d965e2552eb1a5023121b5594b.doc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/mnt/main-storage/datasets/enron-docs/doc/ENARMTnymex1-ed9ff4f40b018e6b7858d2c8cb2a5e089dfac0d965e2552eb1a5023121b5594b.doc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p>
    <w:pPr>
      <w:pStyle w:val="Header"/>
      <w:rPr>
        <w:sz w:val="22"/>
      </w:rPr>
    </w:pPr>
    <w:r>
      <w:rPr>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2000-09-27T18:24:00Z</dcterms:created>
  <dc:creator>ECT</dc:creator>
  <dc:description/>
  <dc:language>en-CA</dc:language>
  <cp:lastModifiedBy>kellis</cp:lastModifiedBy>
  <cp:lastPrinted>2000-09-29T13:42:00Z</cp:lastPrinted>
  <dcterms:modified xsi:type="dcterms:W3CDTF">2000-09-29T16:13:00Z</dcterms:modified>
  <cp:revision>11</cp:revision>
  <dc:subject>Williams Energy Marketing &amp; Trading Company</dc:subject>
  <dc:title>NZ2978.1</dc:title>
</cp:coreProperties>
</file>