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National Gas Regulatory Commission</w:t>
      </w:r>
    </w:p>
    <w:p>
      <w:pPr>
        <w:pStyle w:val="Normal"/>
        <w:jc w:val="both"/>
        <w:rPr/>
      </w:pPr>
      <w:r>
        <w:rPr/>
      </w:r>
    </w:p>
    <w:p>
      <w:pPr>
        <w:pStyle w:val="Normal"/>
        <w:jc w:val="both"/>
        <w:rPr/>
      </w:pPr>
      <w:r>
        <w:rPr/>
        <w:t>Note ENRG/GAL/GdyE/GD/GT/D No. 0493</w:t>
      </w:r>
    </w:p>
    <w:p>
      <w:pPr>
        <w:pStyle w:val="Normal"/>
        <w:jc w:val="both"/>
        <w:rPr/>
      </w:pPr>
      <w:r>
        <w:rPr/>
        <w:t>Buenos Aires, January 26, 2000</w:t>
      </w:r>
    </w:p>
    <w:p>
      <w:pPr>
        <w:pStyle w:val="Normal"/>
        <w:jc w:val="both"/>
        <w:rPr/>
      </w:pPr>
      <w:r>
        <w:rPr/>
        <w:t>RE: Analysis of the application of “Rules of Conduct” for Marketers Activity</w:t>
      </w:r>
    </w:p>
    <w:p>
      <w:pPr>
        <w:pStyle w:val="Normal"/>
        <w:jc w:val="both"/>
        <w:rPr/>
      </w:pPr>
      <w:r>
        <w:rPr/>
        <w:t>File ENARGAS No. 2885/97</w:t>
      </w:r>
    </w:p>
    <w:p>
      <w:pPr>
        <w:pStyle w:val="Normal"/>
        <w:jc w:val="both"/>
        <w:rPr/>
      </w:pPr>
      <w:r>
        <w:rPr/>
      </w:r>
    </w:p>
    <w:p>
      <w:pPr>
        <w:pStyle w:val="Normal"/>
        <w:jc w:val="both"/>
        <w:rPr/>
      </w:pPr>
      <w:r>
        <w:rPr/>
        <w:t>Mr. Vice-president:</w:t>
      </w:r>
    </w:p>
    <w:p>
      <w:pPr>
        <w:pStyle w:val="Normal"/>
        <w:jc w:val="both"/>
        <w:rPr/>
      </w:pPr>
      <w:r>
        <w:rPr/>
      </w:r>
    </w:p>
    <w:p>
      <w:pPr>
        <w:pStyle w:val="Normal"/>
        <w:jc w:val="both"/>
        <w:rPr/>
      </w:pPr>
      <w:r>
        <w:rPr/>
        <w:t>We address you in regards to a study being carried out by this Regulatory Authority on the activity developed – in general – by Marketers as active subjects of the gas industry.</w:t>
      </w:r>
    </w:p>
    <w:p>
      <w:pPr>
        <w:pStyle w:val="Normal"/>
        <w:jc w:val="both"/>
        <w:rPr/>
      </w:pPr>
      <w:r>
        <w:rPr/>
      </w:r>
    </w:p>
    <w:p>
      <w:pPr>
        <w:pStyle w:val="Normal"/>
        <w:jc w:val="both"/>
        <w:rPr/>
      </w:pPr>
      <w:r>
        <w:rPr/>
        <w:t>As stated before, Resolution Nr. 478/97 establishes that a Marketer is considered to be a participant that, with no need of investing in its own transportation and/or distribution gas pipeline network, can compete with distribution and transportation companies for the supply of gas and transportation to users, to whom distcos are obliged to supply unbundled services upon request.   This situation is derived from the current vertical unbundling, process that started as from the privatization of Gas del Estado – the former stated-owned Gas Company.</w:t>
      </w:r>
    </w:p>
    <w:p>
      <w:pPr>
        <w:pStyle w:val="Normal"/>
        <w:jc w:val="both"/>
        <w:rPr/>
      </w:pPr>
      <w:r>
        <w:rPr/>
      </w:r>
    </w:p>
    <w:p>
      <w:pPr>
        <w:pStyle w:val="Normal"/>
        <w:jc w:val="both"/>
        <w:rPr/>
      </w:pPr>
      <w:r>
        <w:rPr/>
        <w:t>Thus, the object of the regulation is to increase the competition within the regulated segments of the industry as well as the transparency of operations carried out thereof.  For this purpose, a Marketers Registry has been created in which contracts executed by traders should be filed.  At the same time, the information that should be submitted to ENARGAS on a monthly basis has been determined, in order to identify the participants, operations, abnormalities and also foster the application of corrective actions, with the purpose of increasing the importance of this activity, notwithstanding the transparency and independence thereof.</w:t>
      </w:r>
    </w:p>
    <w:p>
      <w:pPr>
        <w:pStyle w:val="Normal"/>
        <w:jc w:val="both"/>
        <w:rPr/>
      </w:pPr>
      <w:r>
        <w:rPr/>
      </w:r>
    </w:p>
    <w:p>
      <w:pPr>
        <w:pStyle w:val="Normal"/>
        <w:jc w:val="both"/>
        <w:rPr/>
      </w:pPr>
      <w:r>
        <w:rPr/>
        <w:t>On the other hand, as from the privatization of the industry, distcos have been carrying out works which allowed a) facilities to meet with security and reliability international standards, b) the observance of technical rules applied to facilities construction and operation, c) quality follow-up and control, both in the operations and maintenance areas as well as commercial areas, and d) compliance to a significant number of regulatory requirements, related to the service and the application of tariffs regulated by this Authority.</w:t>
      </w:r>
    </w:p>
    <w:p>
      <w:pPr>
        <w:pStyle w:val="Normal"/>
        <w:jc w:val="both"/>
        <w:rPr/>
      </w:pPr>
      <w:r>
        <w:rPr/>
      </w:r>
    </w:p>
    <w:p>
      <w:pPr>
        <w:pStyle w:val="Normal"/>
        <w:jc w:val="both"/>
        <w:rPr/>
      </w:pPr>
      <w:r>
        <w:rPr/>
        <w:t>Therefore, it is necessary to establish a set of “Rules of Conduct” which objective shall be that provided by Article 2 of the Natural Gas Act and which shall also foster the existence of a real and effective competition, governed by transparency, independence and credibility, and at the same time improving the service to users, as far as both price and quality are concerned.</w:t>
      </w:r>
    </w:p>
    <w:p>
      <w:pPr>
        <w:pStyle w:val="Normal"/>
        <w:jc w:val="both"/>
        <w:rPr/>
      </w:pPr>
      <w:r>
        <w:rPr/>
      </w:r>
    </w:p>
    <w:p>
      <w:pPr>
        <w:pStyle w:val="Normal"/>
        <w:jc w:val="both"/>
        <w:rPr/>
      </w:pPr>
      <w:r>
        <w:rPr/>
        <w:t>In view of the potential growth of users’ requirements concerning services provided by third-parties, fair rules shall be established for the normal interaction of Transporters, Distributors and Marketers, which shall also consider the business relationship among Licensees and Marketers – as per article 34 of Law No. 24.076-, and/or operations which demonstrate a certain degree of business relationship.</w:t>
      </w:r>
    </w:p>
    <w:p>
      <w:pPr>
        <w:pStyle w:val="Normal"/>
        <w:jc w:val="both"/>
        <w:rPr/>
      </w:pPr>
      <w:r>
        <w:rPr/>
      </w:r>
    </w:p>
    <w:p>
      <w:pPr>
        <w:pStyle w:val="Normal"/>
        <w:jc w:val="both"/>
        <w:rPr/>
      </w:pPr>
      <w:r>
        <w:rPr/>
        <w:t>Therefore, in view of the provisions established within the Regulatory Framework, it will be necessary to have your opinion in order to determine those rules which better establish a transparent and non-discriminatory operation in order to bring benefit not only to users but to the system as a whole.  This Regulatory Authority shall gather the opinion of every participant in the industry which is, to some extent, involved in the Marketer’ activity, as well as the Marketer position on the issue under analysis.</w:t>
      </w:r>
    </w:p>
    <w:p>
      <w:pPr>
        <w:pStyle w:val="Normal"/>
        <w:jc w:val="both"/>
        <w:rPr/>
      </w:pPr>
      <w:r>
        <w:rPr/>
      </w:r>
    </w:p>
    <w:p>
      <w:pPr>
        <w:pStyle w:val="Normal"/>
        <w:jc w:val="both"/>
        <w:rPr/>
      </w:pPr>
      <w:r>
        <w:rPr/>
        <w:t>In general terms and pursuant to an open-minded methodology, the different issues subject to analysis, are, among others, as follows:</w:t>
      </w:r>
    </w:p>
    <w:p>
      <w:pPr>
        <w:pStyle w:val="Normal"/>
        <w:jc w:val="both"/>
        <w:rPr/>
      </w:pPr>
      <w:r>
        <w:rPr/>
      </w:r>
    </w:p>
    <w:p>
      <w:pPr>
        <w:pStyle w:val="Normal"/>
        <w:numPr>
          <w:ilvl w:val="0"/>
          <w:numId w:val="1"/>
        </w:numPr>
        <w:jc w:val="both"/>
        <w:rPr/>
      </w:pPr>
      <w:r>
        <w:rPr/>
        <w:t>Effective competition between distcos and marketers.</w:t>
      </w:r>
    </w:p>
    <w:p>
      <w:pPr>
        <w:pStyle w:val="Normal"/>
        <w:numPr>
          <w:ilvl w:val="0"/>
          <w:numId w:val="1"/>
        </w:numPr>
        <w:jc w:val="both"/>
        <w:rPr/>
      </w:pPr>
      <w:r>
        <w:rPr/>
        <w:t>Information provided by Distcos and Marketers to users.</w:t>
      </w:r>
    </w:p>
    <w:p>
      <w:pPr>
        <w:pStyle w:val="Normal"/>
        <w:numPr>
          <w:ilvl w:val="0"/>
          <w:numId w:val="1"/>
        </w:numPr>
        <w:jc w:val="both"/>
        <w:rPr/>
      </w:pPr>
      <w:r>
        <w:rPr/>
        <w:t>Tools used by Marketers to capture users, in compliance with independence, transparency and equity criteria.</w:t>
      </w:r>
    </w:p>
    <w:p>
      <w:pPr>
        <w:pStyle w:val="Normal"/>
        <w:numPr>
          <w:ilvl w:val="0"/>
          <w:numId w:val="1"/>
        </w:numPr>
        <w:jc w:val="both"/>
        <w:rPr/>
      </w:pPr>
      <w:r>
        <w:rPr/>
        <w:t>Types of Services offered by Marketers and contractual scheme used.</w:t>
      </w:r>
    </w:p>
    <w:p>
      <w:pPr>
        <w:pStyle w:val="Normal"/>
        <w:numPr>
          <w:ilvl w:val="0"/>
          <w:numId w:val="1"/>
        </w:numPr>
        <w:jc w:val="both"/>
        <w:rPr/>
      </w:pPr>
      <w:r>
        <w:rPr/>
        <w:t>Criteria for supply curtailments.</w:t>
      </w:r>
    </w:p>
    <w:p>
      <w:pPr>
        <w:pStyle w:val="Normal"/>
        <w:numPr>
          <w:ilvl w:val="0"/>
          <w:numId w:val="1"/>
        </w:numPr>
        <w:jc w:val="both"/>
        <w:rPr/>
      </w:pPr>
      <w:r>
        <w:rPr/>
        <w:t>Compliance to gas dispatch rules (ENARGAS Resolution No. 716/98), adequately following unbalances and nominations in the transportation systems.</w:t>
      </w:r>
    </w:p>
    <w:p>
      <w:pPr>
        <w:pStyle w:val="Normal"/>
        <w:jc w:val="both"/>
        <w:rPr/>
      </w:pPr>
      <w:r>
        <w:rPr/>
      </w:r>
    </w:p>
    <w:p>
      <w:pPr>
        <w:pStyle w:val="Normal"/>
        <w:jc w:val="both"/>
        <w:rPr/>
      </w:pPr>
      <w:r>
        <w:rPr/>
        <w:t>Therefore, it will be useful to implement, with necessary public acknowledgement, a quality indicator based upon a report of percentages of gas delivery failures.</w:t>
      </w:r>
    </w:p>
    <w:p>
      <w:pPr>
        <w:pStyle w:val="Normal"/>
        <w:jc w:val="both"/>
        <w:rPr/>
      </w:pPr>
      <w:r>
        <w:rPr/>
      </w:r>
    </w:p>
    <w:p>
      <w:pPr>
        <w:pStyle w:val="Normal"/>
        <w:jc w:val="both"/>
        <w:rPr/>
      </w:pPr>
      <w:r>
        <w:rPr/>
        <w:t>This company is also requested to submit any proposal it may deem necessary in order to comply with the current legal objectives in relation to the issue above mentioned.</w:t>
      </w:r>
    </w:p>
    <w:p>
      <w:pPr>
        <w:pStyle w:val="Normal"/>
        <w:jc w:val="both"/>
        <w:rPr/>
      </w:pPr>
      <w:r>
        <w:rPr/>
      </w:r>
    </w:p>
    <w:p>
      <w:pPr>
        <w:pStyle w:val="Normal"/>
        <w:jc w:val="both"/>
        <w:rPr/>
      </w:pPr>
      <w:r>
        <w:rPr/>
        <w:t>In view of the necessity of reviewing your opinions as soon as possible, we hereby request you to submit your opinions within the next fifteen (15) working days as from the date of this note.</w:t>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r>
    </w:p>
    <w:p>
      <w:pPr>
        <w:pStyle w:val="Normal"/>
        <w:jc w:val="both"/>
        <w:rPr/>
      </w:pPr>
      <w:r>
        <w:rPr/>
        <w:t>Eng. Hector Formica</w:t>
      </w:r>
    </w:p>
    <w:p>
      <w:pPr>
        <w:pStyle w:val="Normal"/>
        <w:jc w:val="both"/>
        <w:rPr/>
      </w:pPr>
      <w:r>
        <w:rPr/>
        <w:t>President</w:t>
      </w:r>
    </w:p>
    <w:p>
      <w:pPr>
        <w:pStyle w:val="Normal"/>
        <w:jc w:val="both"/>
        <w:rPr/>
      </w:pPr>
      <w:r>
        <w:rPr/>
        <w:t>National Gas Regulatory Commission</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701" w:right="1701"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start"/>
      <w:pPr>
        <w:tabs>
          <w:tab w:val="num" w:pos="360"/>
        </w:tabs>
        <w:ind w:start="360" w:hanging="360"/>
      </w:pPr>
      <w:rPr>
        <w:rFonts w:ascii="Times New Roman" w:hAnsi="Times New Roman" w:cs="Times New Roman"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2000-01-27T17:10:00Z</dcterms:created>
  <dc:creator>ltore</dc:creator>
  <dc:description/>
  <dc:language>en-CA</dc:language>
  <cp:lastModifiedBy>ltore</cp:lastModifiedBy>
  <cp:lastPrinted>2000-01-28T08:55:00Z</cp:lastPrinted>
  <dcterms:modified xsi:type="dcterms:W3CDTF">2000-01-28T09:30:00Z</dcterms:modified>
  <cp:revision>9</cp:revision>
  <dc:subject/>
  <dc:title>National Gas Regulatory Commission</dc:title>
</cp:coreProperties>
</file>