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ind w:start="1440" w:end="0"/>
        <w:rPr>
          <w:rFonts w:ascii="Arial" w:hAnsi="Arial" w:cs="Arial"/>
          <w:sz w:val="20"/>
          <w:szCs w:val="20"/>
        </w:rPr>
      </w:pPr>
      <w:r>
        <w:rPr>
          <w:rFonts w:cs="Arial" w:ascii="Arial" w:hAnsi="Arial"/>
          <w:sz w:val="20"/>
          <w:szCs w:val="20"/>
        </w:rPr>
        <w:t>11/6/01</w:t>
      </w:r>
    </w:p>
    <w:p>
      <w:pPr>
        <w:pStyle w:val="Normal"/>
        <w:autoSpaceDE w:val="false"/>
        <w:ind w:start="1440" w:end="0"/>
        <w:rPr>
          <w:rFonts w:ascii="Arial" w:hAnsi="Arial" w:cs="Arial"/>
          <w:sz w:val="20"/>
          <w:szCs w:val="20"/>
        </w:rPr>
      </w:pPr>
      <w:r>
        <w:rPr>
          <w:rFonts w:cs="Arial" w:ascii="Arial" w:hAnsi="Arial"/>
          <w:sz w:val="20"/>
          <w:szCs w:val="20"/>
        </w:rPr>
        <w:t>It has become more important then ever for Enron to coordinate its efforts in the marketplace.  To that end, ENA and EES have agreed to approach the target markets as follows:</w:t>
      </w:r>
    </w:p>
    <w:p>
      <w:pPr>
        <w:pStyle w:val="Normal"/>
        <w:autoSpaceDE w:val="false"/>
        <w:ind w:start="1440" w:end="0"/>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EES will direct its focus on the following selected accounts for Power. Any discussions with these accounts relative to natural gas issues will be in coordination with the appropriate ENA representatives.  Texas – Brian Redmond, West – Barry Tycholiz, East – Frank Vickers.  Any activities focused on Peoples will be coordinated through Laura Luce </w:t>
      </w:r>
    </w:p>
    <w:p>
      <w:pPr>
        <w:pStyle w:val="Normal"/>
        <w:autoSpaceDE w:val="false"/>
        <w:ind w:start="1440" w:end="0"/>
        <w:rPr>
          <w:rFonts w:ascii="Arial" w:hAnsi="Arial" w:cs="Arial"/>
          <w:sz w:val="20"/>
          <w:szCs w:val="20"/>
        </w:rPr>
      </w:pPr>
      <w:r>
        <w:rPr>
          <w:rFonts w:cs="Arial" w:ascii="Arial" w:hAnsi="Arial"/>
          <w:sz w:val="20"/>
          <w:szCs w:val="20"/>
        </w:rPr>
      </w:r>
    </w:p>
    <w:p>
      <w:pPr>
        <w:pStyle w:val="Normal"/>
        <w:numPr>
          <w:ilvl w:val="0"/>
          <w:numId w:val="2"/>
        </w:numPr>
        <w:autoSpaceDE w:val="false"/>
        <w:rPr>
          <w:rFonts w:ascii="Arial" w:hAnsi="Arial" w:cs="Arial"/>
          <w:sz w:val="20"/>
          <w:szCs w:val="20"/>
        </w:rPr>
      </w:pPr>
      <w:r>
        <w:rPr>
          <w:rFonts w:cs="Arial" w:ascii="Arial" w:hAnsi="Arial"/>
          <w:sz w:val="20"/>
          <w:szCs w:val="20"/>
        </w:rPr>
        <w:t>City of San Antonio</w:t>
      </w:r>
    </w:p>
    <w:p>
      <w:pPr>
        <w:pStyle w:val="Normal"/>
        <w:numPr>
          <w:ilvl w:val="0"/>
          <w:numId w:val="2"/>
        </w:numPr>
        <w:autoSpaceDE w:val="false"/>
        <w:rPr>
          <w:rFonts w:ascii="Arial" w:hAnsi="Arial" w:cs="Arial"/>
          <w:sz w:val="20"/>
          <w:szCs w:val="20"/>
        </w:rPr>
      </w:pPr>
      <w:r>
        <w:rPr>
          <w:rFonts w:cs="Arial" w:ascii="Arial" w:hAnsi="Arial"/>
          <w:sz w:val="20"/>
          <w:szCs w:val="20"/>
        </w:rPr>
        <w:t>City of Austin</w:t>
      </w:r>
    </w:p>
    <w:p>
      <w:pPr>
        <w:pStyle w:val="Normal"/>
        <w:numPr>
          <w:ilvl w:val="0"/>
          <w:numId w:val="2"/>
        </w:numPr>
        <w:autoSpaceDE w:val="false"/>
        <w:rPr>
          <w:rFonts w:ascii="Arial" w:hAnsi="Arial" w:cs="Arial"/>
          <w:sz w:val="20"/>
          <w:szCs w:val="20"/>
        </w:rPr>
      </w:pPr>
      <w:r>
        <w:rPr>
          <w:rFonts w:cs="Arial" w:ascii="Arial" w:hAnsi="Arial"/>
          <w:sz w:val="20"/>
          <w:szCs w:val="20"/>
        </w:rPr>
        <w:t>Brownsville Public Utility Board</w:t>
      </w:r>
    </w:p>
    <w:p>
      <w:pPr>
        <w:pStyle w:val="Normal"/>
        <w:numPr>
          <w:ilvl w:val="0"/>
          <w:numId w:val="2"/>
        </w:numPr>
        <w:autoSpaceDE w:val="false"/>
        <w:rPr>
          <w:rFonts w:ascii="Arial" w:hAnsi="Arial" w:cs="Arial"/>
          <w:sz w:val="20"/>
          <w:szCs w:val="20"/>
        </w:rPr>
      </w:pPr>
      <w:r>
        <w:rPr>
          <w:rFonts w:cs="Arial" w:ascii="Arial" w:hAnsi="Arial"/>
          <w:sz w:val="20"/>
          <w:szCs w:val="20"/>
        </w:rPr>
        <w:t>City of Anaheim</w:t>
      </w:r>
    </w:p>
    <w:p>
      <w:pPr>
        <w:pStyle w:val="Normal"/>
        <w:numPr>
          <w:ilvl w:val="0"/>
          <w:numId w:val="2"/>
        </w:numPr>
        <w:autoSpaceDE w:val="false"/>
        <w:rPr>
          <w:rFonts w:ascii="Arial" w:hAnsi="Arial" w:cs="Arial"/>
          <w:sz w:val="20"/>
          <w:szCs w:val="20"/>
        </w:rPr>
      </w:pPr>
      <w:r>
        <w:rPr>
          <w:rFonts w:cs="Arial" w:ascii="Arial" w:hAnsi="Arial"/>
          <w:sz w:val="20"/>
          <w:szCs w:val="20"/>
        </w:rPr>
        <w:t>Peoples</w:t>
      </w:r>
    </w:p>
    <w:p>
      <w:pPr>
        <w:pStyle w:val="Normal"/>
        <w:numPr>
          <w:ilvl w:val="0"/>
          <w:numId w:val="2"/>
        </w:numPr>
        <w:autoSpaceDE w:val="false"/>
        <w:rPr>
          <w:rFonts w:ascii="Arial" w:hAnsi="Arial" w:cs="Arial"/>
          <w:sz w:val="20"/>
          <w:szCs w:val="20"/>
        </w:rPr>
      </w:pPr>
      <w:r>
        <w:rPr>
          <w:rFonts w:cs="Arial" w:ascii="Arial" w:hAnsi="Arial"/>
          <w:sz w:val="20"/>
          <w:szCs w:val="20"/>
        </w:rPr>
        <w:t>SMUD</w:t>
      </w:r>
    </w:p>
    <w:p>
      <w:pPr>
        <w:pStyle w:val="Normal"/>
        <w:numPr>
          <w:ilvl w:val="0"/>
          <w:numId w:val="2"/>
        </w:numPr>
        <w:autoSpaceDE w:val="false"/>
        <w:rPr>
          <w:rFonts w:ascii="Arial" w:hAnsi="Arial" w:cs="Arial"/>
          <w:sz w:val="20"/>
          <w:szCs w:val="20"/>
        </w:rPr>
      </w:pPr>
      <w:r>
        <w:rPr>
          <w:rFonts w:cs="Arial" w:ascii="Arial" w:hAnsi="Arial"/>
          <w:sz w:val="20"/>
          <w:szCs w:val="20"/>
        </w:rPr>
        <w:t>Silicon Valley (Santa Clara)</w:t>
      </w:r>
    </w:p>
    <w:p>
      <w:pPr>
        <w:pStyle w:val="Normal"/>
        <w:numPr>
          <w:ilvl w:val="0"/>
          <w:numId w:val="2"/>
        </w:numPr>
        <w:autoSpaceDE w:val="false"/>
        <w:rPr>
          <w:rFonts w:ascii="Arial" w:hAnsi="Arial" w:cs="Arial"/>
          <w:sz w:val="20"/>
          <w:szCs w:val="20"/>
        </w:rPr>
      </w:pPr>
      <w:r>
        <w:rPr>
          <w:rFonts w:cs="Arial" w:ascii="Arial" w:hAnsi="Arial"/>
          <w:sz w:val="20"/>
          <w:szCs w:val="20"/>
        </w:rPr>
        <w:t>City of Memphis</w:t>
      </w:r>
    </w:p>
    <w:p>
      <w:pPr>
        <w:pStyle w:val="Normal"/>
        <w:autoSpaceDE w:val="false"/>
        <w:ind w:firstLine="720" w:start="2160" w:end="0"/>
        <w:rPr>
          <w:rFonts w:ascii="Arial" w:hAnsi="Arial" w:cs="Arial"/>
          <w:sz w:val="20"/>
          <w:szCs w:val="20"/>
        </w:rPr>
      </w:pPr>
      <w:r>
        <w:rPr>
          <w:rFonts w:cs="Arial" w:ascii="Arial" w:hAnsi="Arial"/>
          <w:sz w:val="20"/>
          <w:szCs w:val="20"/>
        </w:rPr>
      </w:r>
    </w:p>
    <w:p>
      <w:pPr>
        <w:pStyle w:val="Normal"/>
        <w:numPr>
          <w:ilvl w:val="0"/>
          <w:numId w:val="1"/>
        </w:numPr>
        <w:rPr>
          <w:rFonts w:ascii="Arial" w:hAnsi="Arial" w:cs="Arial"/>
          <w:sz w:val="20"/>
        </w:rPr>
      </w:pPr>
      <w:r>
        <w:rPr>
          <w:rFonts w:cs="Arial" w:ascii="Arial" w:hAnsi="Arial"/>
          <w:sz w:val="20"/>
        </w:rPr>
        <w:t>EES will work on these accounts to determine if their “model” produces better results then the traditional wholesale marketing strategy.  ENA and EES will meet at a later date to discuss the results of the EES direct effort with these identified accounts.</w:t>
      </w:r>
    </w:p>
    <w:p>
      <w:pPr>
        <w:pStyle w:val="Normal"/>
        <w:ind w:start="1440" w:end="0"/>
        <w:rPr>
          <w:rFonts w:ascii="Arial" w:hAnsi="Arial" w:cs="Arial"/>
          <w:sz w:val="20"/>
        </w:rPr>
      </w:pPr>
      <w:r>
        <w:rPr>
          <w:rFonts w:cs="Arial" w:ascii="Arial" w:hAnsi="Arial"/>
          <w:sz w:val="20"/>
        </w:rPr>
      </w:r>
    </w:p>
    <w:p>
      <w:pPr>
        <w:pStyle w:val="Normal"/>
        <w:numPr>
          <w:ilvl w:val="0"/>
          <w:numId w:val="1"/>
        </w:numPr>
        <w:autoSpaceDE w:val="false"/>
        <w:rPr>
          <w:rFonts w:ascii="Arial" w:hAnsi="Arial" w:cs="Arial"/>
          <w:sz w:val="20"/>
          <w:szCs w:val="20"/>
        </w:rPr>
      </w:pPr>
      <w:r>
        <w:rPr>
          <w:rFonts w:cs="Arial" w:ascii="Arial" w:hAnsi="Arial"/>
          <w:sz w:val="20"/>
          <w:szCs w:val="20"/>
        </w:rPr>
        <w:t xml:space="preserve">The existing split of Industrial Accounts agreed to in June will remain in place.  Any interest by either EES or ENA to approach accounts not assigned to them will be coordinated. We will work together to determine if there are subgroups within the SIC codes which are more appropriate for EES to cover.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1"/>
        </w:numPr>
        <w:autoSpaceDE w:val="false"/>
        <w:rPr>
          <w:rFonts w:ascii="Arial" w:hAnsi="Arial" w:cs="Arial"/>
          <w:sz w:val="20"/>
          <w:szCs w:val="20"/>
        </w:rPr>
      </w:pPr>
      <w:r>
        <w:rPr>
          <w:rFonts w:cs="Arial" w:ascii="Arial" w:hAnsi="Arial"/>
          <w:sz w:val="20"/>
          <w:szCs w:val="20"/>
        </w:rPr>
        <w:t>A copy of the June arrangement is provided below:</w:t>
      </w:r>
    </w:p>
    <w:p>
      <w:pPr>
        <w:pStyle w:val="Normal"/>
        <w:autoSpaceDE w:val="false"/>
        <w:rPr>
          <w:rFonts w:ascii="Arial" w:hAnsi="Arial" w:cs="Arial"/>
          <w:sz w:val="20"/>
          <w:szCs w:val="20"/>
        </w:rPr>
      </w:pPr>
      <w:r>
        <w:rPr>
          <w:rFonts w:cs="Arial" w:ascii="Arial" w:hAnsi="Arial"/>
          <w:sz w:val="20"/>
          <w:szCs w:val="20"/>
        </w:rPr>
      </w:r>
    </w:p>
    <w:p>
      <w:pPr>
        <w:pStyle w:val="Normal"/>
        <w:autoSpaceDE w:val="false"/>
        <w:ind w:start="1440" w:end="0"/>
        <w:rPr>
          <w:rFonts w:ascii="Arial" w:hAnsi="Arial" w:cs="Arial"/>
          <w:sz w:val="20"/>
          <w:szCs w:val="20"/>
        </w:rPr>
      </w:pPr>
      <w:r>
        <w:rPr>
          <w:rFonts w:cs="Arial" w:ascii="Arial" w:hAnsi="Arial"/>
          <w:sz w:val="20"/>
          <w:szCs w:val="20"/>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From: John Lavorato &amp; Dave Delainey</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To: All of ENA and EES</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keepNext w:val="true"/>
        <w:autoSpaceDE w:val="false"/>
        <w:spacing w:lineRule="atLeast" w:line="240"/>
        <w:rPr>
          <w:rFonts w:ascii="Arial" w:hAnsi="Arial" w:cs="Arial"/>
          <w:b/>
          <w:bCs/>
          <w:color w:val="000000"/>
          <w:sz w:val="20"/>
          <w:szCs w:val="20"/>
          <w:u w:val="single"/>
        </w:rPr>
      </w:pPr>
      <w:r>
        <w:rPr>
          <w:rFonts w:cs="Arial" w:ascii="Arial" w:hAnsi="Arial"/>
          <w:b/>
          <w:bCs/>
          <w:color w:val="000000"/>
          <w:sz w:val="20"/>
          <w:szCs w:val="20"/>
          <w:u w:val="single"/>
        </w:rPr>
        <w:t>Re: ENA and EES Industrial SIC Codes</w:t>
      </w:r>
    </w:p>
    <w:p>
      <w:pPr>
        <w:pStyle w:val="Normal"/>
        <w:autoSpaceDE w:val="false"/>
        <w:spacing w:lineRule="atLeast" w:line="240"/>
        <w:rPr>
          <w:rFonts w:ascii="Arial" w:hAnsi="Arial" w:cs="Arial"/>
          <w:b/>
          <w:bCs/>
          <w:color w:val="000000"/>
          <w:sz w:val="20"/>
          <w:szCs w:val="20"/>
          <w:u w:val="single"/>
        </w:rPr>
      </w:pPr>
      <w:r>
        <w:rPr>
          <w:rFonts w:cs="Arial" w:ascii="Arial" w:hAnsi="Arial"/>
          <w:b/>
          <w:bCs/>
          <w:color w:val="000000"/>
          <w:sz w:val="20"/>
          <w:szCs w:val="20"/>
          <w:u w:val="single"/>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As Enron continues to build its origination and customer business in the US, it is becoming increasingly important that both ENA and EES target the appropriate industries and customers with our respective value propositions.  Double coverage and duplication waste resources and damages Enron’s reputation in the market place.  It is also important that the right product, solution and sales technique are utilized to ensure the maximum benefit for our customers and Enron.</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pPr>
      <w:r>
        <w:rPr>
          <w:rFonts w:cs="Arial" w:ascii="Arial" w:hAnsi="Arial"/>
          <w:color w:val="000000"/>
          <w:sz w:val="20"/>
          <w:szCs w:val="20"/>
        </w:rPr>
        <w:t xml:space="preserve">Consistent with the past, EES will be focused on those SIC codes or industries that are less energy intensive and are less sophisticated in their management of energy.  ENA shall continue to target and cover those industries and customers that are very energy intensive and employ significant process load.  We ask that both organizations respect the boundary.  In those few cases where this policy is not appropriate, please over communicate to ensure close coordination between ENA and EES </w:t>
      </w:r>
      <w:r>
        <w:rPr>
          <w:rFonts w:cs="Arial" w:ascii="Arial" w:hAnsi="Arial"/>
          <w:color w:val="000000"/>
          <w:sz w:val="20"/>
          <w:szCs w:val="20"/>
          <w:u w:val="single"/>
        </w:rPr>
        <w:t>before</w:t>
      </w:r>
      <w:r>
        <w:rPr>
          <w:rFonts w:cs="Arial" w:ascii="Arial" w:hAnsi="Arial"/>
          <w:color w:val="000000"/>
          <w:sz w:val="20"/>
          <w:szCs w:val="20"/>
        </w:rPr>
        <w:t xml:space="preserve"> customer contact. </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Effective immediately in the US and regardless of total energy consumption or number of sites, the following SIC codes have coverage responsibility in ENA.  All other industrial and commercial SIC codes and activity will be managed by EES.</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b/>
          <w:bCs/>
          <w:color w:val="000000"/>
          <w:sz w:val="20"/>
          <w:szCs w:val="20"/>
          <w:u w:val="single"/>
        </w:rPr>
      </w:pPr>
      <w:r>
        <w:rPr>
          <w:rFonts w:cs="Arial" w:ascii="Arial" w:hAnsi="Arial"/>
          <w:b/>
          <w:bCs/>
          <w:color w:val="000000"/>
          <w:sz w:val="20"/>
          <w:szCs w:val="20"/>
          <w:u w:val="single"/>
        </w:rPr>
        <w:t>ENA SIC Codes:</w:t>
      </w:r>
    </w:p>
    <w:p>
      <w:pPr>
        <w:pStyle w:val="Normal"/>
        <w:autoSpaceDE w:val="false"/>
        <w:spacing w:lineRule="atLeast" w:line="240"/>
        <w:rPr>
          <w:rFonts w:ascii="Arial" w:hAnsi="Arial" w:cs="Arial"/>
          <w:b/>
          <w:bCs/>
          <w:color w:val="000000"/>
          <w:sz w:val="20"/>
          <w:szCs w:val="20"/>
          <w:u w:val="single"/>
        </w:rPr>
      </w:pPr>
      <w:r>
        <w:rPr>
          <w:rFonts w:cs="Arial" w:ascii="Arial" w:hAnsi="Arial"/>
          <w:b/>
          <w:bCs/>
          <w:color w:val="000000"/>
          <w:sz w:val="20"/>
          <w:szCs w:val="20"/>
          <w:u w:val="single"/>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 xml:space="preserve">Primary Metals Mining and Extraction </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Oil and Gas Extraction</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Paper and Forest Products</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Chemicals - except for pharmaceutical, biotech and small specialty chemical that will be EES customers</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Refining</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Petroleum and Coal Manufacturing</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Plastics and Rubber Manufacturing</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Fertilizer</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Rail</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Auto - restricted to the Big Three - Ford, GM and Daimler-Chrysler</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Cement</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Aerospace - restricted to Boeing, Raytheon, GE Aircraft, Allied Signal, Hamilton-Sundstrom</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Large Agricultural Processing</w:t>
      </w:r>
    </w:p>
    <w:p>
      <w:pPr>
        <w:pStyle w:val="Normal"/>
        <w:autoSpaceDE w:val="false"/>
        <w:ind w:start="1440" w:end="0"/>
        <w:rPr>
          <w:rFonts w:ascii="Arial" w:hAnsi="Arial" w:cs="Arial"/>
          <w:color w:val="000000"/>
          <w:sz w:val="20"/>
          <w:szCs w:val="20"/>
        </w:rPr>
      </w:pPr>
      <w:r>
        <w:rPr>
          <w:rFonts w:cs="Arial" w:ascii="Arial" w:hAnsi="Arial"/>
          <w:color w:val="000000"/>
          <w:sz w:val="20"/>
          <w:szCs w:val="20"/>
        </w:rPr>
      </w:r>
    </w:p>
    <w:p>
      <w:pPr>
        <w:pStyle w:val="Normal"/>
        <w:numPr>
          <w:ilvl w:val="0"/>
          <w:numId w:val="1"/>
        </w:numPr>
        <w:rPr>
          <w:rFonts w:ascii="Arial" w:hAnsi="Arial" w:cs="Arial"/>
          <w:sz w:val="20"/>
        </w:rPr>
      </w:pPr>
      <w:r>
        <w:rPr>
          <w:rFonts w:cs="Arial" w:ascii="Arial" w:hAnsi="Arial"/>
          <w:sz w:val="20"/>
        </w:rPr>
        <w:t>EES will not make direct contact with any LDC’s, Municipal Gas entities or  IOU’s without first getting approval from the appropriate ENA representative.</w:t>
      </w:r>
    </w:p>
    <w:p>
      <w:pPr>
        <w:pStyle w:val="Normal"/>
        <w:ind w:start="1440" w:end="0"/>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In addition to the accounts identified above, EES will be working directly with Independent Power Producers and will coordinate such efforts with the appropriate ENA representative(s).</w:t>
      </w:r>
    </w:p>
    <w:p>
      <w:pPr>
        <w:pStyle w:val="Normal"/>
        <w:ind w:start="144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ind w:start="16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160"/>
        </w:tabs>
        <w:ind w:start="2160" w:hanging="360"/>
      </w:pPr>
    </w:lvl>
  </w:abstractNum>
  <w:abstractNum w:abstractNumId="2">
    <w:lvl w:ilvl="0">
      <w:start w:val="1"/>
      <w:numFmt w:val="lowerLetter"/>
      <w:lvlText w:val="%1)"/>
      <w:lvlJc w:val="start"/>
      <w:pPr>
        <w:tabs>
          <w:tab w:val="num" w:pos="2880"/>
        </w:tabs>
        <w:ind w:start="288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1">
    <w:name w:val="WW8Num2z1"/>
    <w:qFormat/>
    <w:rPr>
      <w:rFonts w:ascii="Wingdings" w:hAnsi="Wingdings" w:cs="Wingdings"/>
    </w:rPr>
  </w:style>
  <w:style w:type="character" w:styleId="WW8Num3z1">
    <w:name w:val="WW8Num3z1"/>
    <w:qFormat/>
    <w:rPr>
      <w:rFonts w:ascii="Times New Roman" w:hAnsi="Times New Roman" w:eastAsia="Times New Roman" w:cs="Times New Roman"/>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2001-11-05T13:26:00Z</dcterms:created>
  <dc:creator>fvicker</dc:creator>
  <dc:description/>
  <dc:language>en-CA</dc:language>
  <cp:lastModifiedBy>fvicker</cp:lastModifiedBy>
  <cp:lastPrinted>2001-11-06T14:31:00Z</cp:lastPrinted>
  <dcterms:modified xsi:type="dcterms:W3CDTF">2001-11-06T18:02:00Z</dcterms:modified>
  <cp:revision>9</cp:revision>
  <dc:subject/>
  <dc:title>It has become more important then ever for Enron to coordinate its efforts in the marketplace</dc:title>
</cp:coreProperties>
</file>