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North America Corp.</w:t>
            </w:r>
            <w:r>
              <w:rPr>
                <w:sz w:val="22"/>
                <w:b/>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EnronLogoAddr1 </w:instrText>
            </w:r>
            <w:r>
              <w:rPr>
                <w:sz w:val="22"/>
                <w:i/>
              </w:rPr>
              <w:fldChar w:fldCharType="separate"/>
            </w:r>
            <w:r>
              <w:rPr>
                <w:sz w:val="22"/>
                <w:i/>
              </w:rPr>
              <w:t>P.O. Box 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EnronLogoAddr2 </w:instrText>
            </w:r>
            <w:r>
              <w:rPr>
                <w:sz w:val="22"/>
                <w:i/>
              </w:rPr>
              <w:fldChar w:fldCharType="separate"/>
            </w:r>
            <w:r>
              <w:rPr>
                <w:sz w:val="22"/>
                <w:i/>
              </w:rPr>
              <w:t>Houston TX 77210-4428</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EnronLogoAddr3 </w:instrText>
            </w:r>
            <w:r>
              <w:rPr>
                <w:sz w:val="22"/>
                <w:i/>
              </w:rPr>
              <w:fldChar w:fldCharType="separate"/>
            </w:r>
            <w:r>
              <w:rPr>
                <w:sz w:val="22"/>
                <w:i/>
              </w:rPr>
              <w:t>(713) 853-3300</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EnronLogoTelephone </w:instrText>
            </w:r>
            <w:r>
              <w:rPr>
                <w:sz w:val="22"/>
                <w:i/>
              </w:rPr>
              <w:fldChar w:fldCharType="separate"/>
            </w:r>
            <w:r>
              <w:rPr>
                <w:sz w:val="22"/>
                <w:i/>
              </w:rPr>
              <w:t>Fax (713) 646-4816</w:t>
            </w:r>
            <w:r>
              <w:rPr>
                <w:sz w:val="22"/>
                <w:i/>
              </w:rPr>
              <w:fldChar w:fldCharType="end"/>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jc w:val="center"/>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p>
      <w:pPr>
        <w:pStyle w:val="Normal"/>
        <w:rPr>
          <w:sz w:val="22"/>
        </w:rPr>
      </w:pPr>
      <w:r>
        <w:rPr>
          <w:sz w:val="22"/>
        </w:rPr>
        <w:t>To:</w:t>
        <w:tab/>
        <w:tab/>
        <w:t>The Chase Manhattan Bank ("Party B")</w:t>
      </w:r>
    </w:p>
    <w:p>
      <w:pPr>
        <w:pStyle w:val="Normal"/>
        <w:rPr>
          <w:sz w:val="22"/>
        </w:rPr>
      </w:pPr>
      <w:r>
        <w:rPr>
          <w:sz w:val="22"/>
        </w:rPr>
        <w:t>Attention:</w:t>
        <w:tab/>
        <w:t>[                 ]</w:t>
      </w:r>
    </w:p>
    <w:p>
      <w:pPr>
        <w:pStyle w:val="Normal"/>
        <w:rPr>
          <w:sz w:val="22"/>
        </w:rPr>
      </w:pPr>
      <w:r>
        <w:rPr>
          <w:sz w:val="22"/>
        </w:rPr>
        <w:t>Fax No.:</w:t>
        <w:tab/>
        <w:t>[(   )         ]</w:t>
      </w:r>
    </w:p>
    <w:p>
      <w:pPr>
        <w:pStyle w:val="Normal"/>
        <w:rPr/>
      </w:pPr>
      <w:r>
        <w:rPr>
          <w:sz w:val="22"/>
        </w:rPr>
        <w:t>From:</w:t>
        <w:tab/>
        <w:tab/>
      </w:r>
      <w:r>
        <w:rPr>
          <w:sz w:val="22"/>
        </w:rPr>
        <w:fldChar w:fldCharType="begin"/>
      </w:r>
      <w:r>
        <w:rPr>
          <w:sz w:val="22"/>
        </w:rPr>
        <w:instrText xml:space="preserve"> MERGEFIELD EnronEntityNameCode </w:instrText>
      </w:r>
      <w:r>
        <w:rPr>
          <w:sz w:val="22"/>
        </w:rPr>
        <w:fldChar w:fldCharType="separate"/>
      </w:r>
      <w:r>
        <w:rPr>
          <w:sz w:val="22"/>
        </w:rPr>
        <w:t>Enron North America Corp.</w:t>
      </w:r>
      <w:r>
        <w:rPr>
          <w:sz w:val="22"/>
        </w:rPr>
        <w:fldChar w:fldCharType="end"/>
      </w:r>
      <w:r>
        <w:rPr>
          <w:sz w:val="22"/>
        </w:rPr>
        <w:t xml:space="preserve"> ("Party A")</w:t>
      </w:r>
    </w:p>
    <w:p>
      <w:pPr>
        <w:pStyle w:val="Normal"/>
        <w:rPr>
          <w:sz w:val="22"/>
        </w:rPr>
      </w:pPr>
      <w:r>
        <w:rPr>
          <w:sz w:val="22"/>
        </w:rPr>
        <w:t>Re:</w:t>
        <w:tab/>
        <w:tab/>
        <w:t>Commodity Swap [          ]</w:t>
      </w:r>
    </w:p>
    <w:p>
      <w:pPr>
        <w:pStyle w:val="Normal"/>
        <w:rPr>
          <w:sz w:val="22"/>
        </w:rPr>
      </w:pPr>
      <w:r>
        <w:rPr>
          <w:sz w:val="22"/>
        </w:rPr>
      </w:r>
    </w:p>
    <w:p>
      <w:pPr>
        <w:pStyle w:val="Normal"/>
        <w:jc w:val="both"/>
        <w:rPr>
          <w:sz w:val="22"/>
        </w:rPr>
      </w:pPr>
      <w:r>
        <w:rPr>
          <w:sz w:val="22"/>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Normal"/>
        <w:jc w:val="both"/>
        <w:rPr>
          <w:sz w:val="22"/>
        </w:rPr>
      </w:pPr>
      <w:r>
        <w:rPr>
          <w:sz w:val="22"/>
        </w:rPr>
        <w:tab/>
        <w:t>1.  This Confirmation supplements, forms part of, and is subject to, the ISDA Master Agreement dated as of April 5, 1994,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ind w:start="-18" w:end="0"/>
              <w:rPr>
                <w:sz w:val="22"/>
              </w:rPr>
            </w:pPr>
            <w:r>
              <w:rPr>
                <w:sz w:val="22"/>
              </w:rPr>
            </w:r>
          </w:p>
          <w:p>
            <w:pPr>
              <w:pStyle w:val="Normal"/>
              <w:ind w:start="-18" w:end="0"/>
              <w:jc w:val="both"/>
              <w:rPr>
                <w:sz w:val="22"/>
              </w:rPr>
            </w:pPr>
            <w:r>
              <w:rPr>
                <w:sz w:val="22"/>
              </w:rPr>
              <w:fldChar w:fldCharType="begin"/>
            </w:r>
            <w:r>
              <w:rPr>
                <w:sz w:val="22"/>
              </w:rPr>
              <w:instrText xml:space="preserve"> MERGEFIELD QtyPerPeriod </w:instrText>
            </w:r>
            <w:r>
              <w:rPr>
                <w:sz w:val="22"/>
              </w:rPr>
              <w:fldChar w:fldCharType="separate"/>
            </w:r>
            <w:r>
              <w:rPr>
                <w:sz w:val="22"/>
              </w:rPr>
              <w:t>For each Calculation Period, the amount set forth in Exhibit I attached hereto opposite such Calculation Period</w:t>
            </w:r>
            <w:r>
              <w:rPr>
                <w:sz w:val="22"/>
              </w:rPr>
              <w:fldChar w:fldCharType="end"/>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w:t>
            </w:r>
          </w:p>
        </w:tc>
        <w:tc>
          <w:tcPr>
            <w:tcW w:w="6102" w:type="dxa"/>
            <w:tcBorders/>
          </w:tcPr>
          <w:p>
            <w:pPr>
              <w:pStyle w:val="Normal"/>
              <w:rPr/>
            </w:pPr>
            <w:r>
              <w:rPr>
                <w:sz w:val="22"/>
              </w:rPr>
              <w:fldChar w:fldCharType="begin"/>
            </w:r>
            <w:r>
              <w:rPr>
                <w:sz w:val="22"/>
              </w:rPr>
              <w:instrText xml:space="preserve"> MERGEFIELD CommodityName </w:instrText>
            </w:r>
            <w:r>
              <w:rPr>
                <w:sz w:val="22"/>
              </w:rPr>
              <w:fldChar w:fldCharType="separate"/>
            </w:r>
            <w:r>
              <w:rPr>
                <w:sz w:val="22"/>
              </w:rPr>
              <w:t>Natural Gas</w:t>
            </w:r>
            <w:r>
              <w:rPr>
                <w:sz w:val="22"/>
              </w:rPr>
              <w:fldChar w:fldCharType="end"/>
            </w:r>
            <w:r>
              <w:rPr>
                <w:sz w:val="22"/>
              </w:rPr>
              <w:t xml:space="preserve"> </w:t>
            </w:r>
            <w:r>
              <w:rPr>
                <w:sz w:val="22"/>
              </w:rPr>
              <w:t>- Gigajoules</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Commodity Unit:</w:t>
            </w:r>
          </w:p>
        </w:tc>
        <w:tc>
          <w:tcPr>
            <w:tcW w:w="6102" w:type="dxa"/>
            <w:tcBorders/>
          </w:tcPr>
          <w:p>
            <w:pPr>
              <w:pStyle w:val="Normal"/>
              <w:rPr>
                <w:sz w:val="22"/>
              </w:rPr>
            </w:pPr>
            <w:r>
              <w:rPr>
                <w:sz w:val="22"/>
              </w:rPr>
              <w:t>Gigajoules (“GJ”)</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ind w:firstLine="720" w:end="0"/>
              <w:rPr>
                <w:sz w:val="22"/>
              </w:rPr>
            </w:pPr>
            <w:r>
              <w:rPr>
                <w:sz w:val="22"/>
              </w:rPr>
            </w:r>
          </w:p>
        </w:tc>
      </w:tr>
      <w:tr>
        <w:trPr/>
        <w:tc>
          <w:tcPr>
            <w:tcW w:w="4338" w:type="dxa"/>
            <w:tcBorders/>
          </w:tcPr>
          <w:p>
            <w:pPr>
              <w:pStyle w:val="Normal"/>
              <w:ind w:firstLine="720" w:end="0"/>
              <w:rPr>
                <w:sz w:val="22"/>
              </w:rPr>
            </w:pPr>
            <w:r>
              <w:rPr>
                <w:sz w:val="22"/>
              </w:rPr>
              <w:t>Trade Date:</w:t>
            </w:r>
          </w:p>
        </w:tc>
        <w:tc>
          <w:tcPr>
            <w:tcW w:w="6102" w:type="dxa"/>
            <w:tcBorders/>
          </w:tcPr>
          <w:p>
            <w:pPr>
              <w:pStyle w:val="Normal"/>
              <w:ind w:hanging="18" w:end="0"/>
              <w:rPr>
                <w:sz w:val="22"/>
              </w:rPr>
            </w:pPr>
            <w:r>
              <w:rPr>
                <w:sz w:val="22"/>
              </w:rPr>
              <w:fldChar w:fldCharType="begin"/>
            </w:r>
            <w:r>
              <w:rPr>
                <w:sz w:val="22"/>
              </w:rPr>
              <w:instrText xml:space="preserve"> MERGEFIELD DealDate </w:instrText>
            </w:r>
            <w:r>
              <w:rPr>
                <w:sz w:val="22"/>
              </w:rPr>
              <w:fldChar w:fldCharType="separate"/>
            </w:r>
            <w:r>
              <w:rPr>
                <w:sz w:val="22"/>
              </w:rPr>
              <w:t>September 28, 2000</w:t>
            </w:r>
            <w:r>
              <w:rPr>
                <w:sz w:val="22"/>
              </w:rPr>
              <w:fldChar w:fldCharType="end"/>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September 29, 2000</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Termination Date:</w:t>
            </w:r>
          </w:p>
        </w:tc>
        <w:tc>
          <w:tcPr>
            <w:tcW w:w="6102" w:type="dxa"/>
            <w:tcBorders/>
          </w:tcPr>
          <w:p>
            <w:pPr>
              <w:pStyle w:val="Normal"/>
              <w:ind w:start="-18" w:end="0"/>
              <w:jc w:val="both"/>
              <w:rPr>
                <w:sz w:val="22"/>
              </w:rPr>
            </w:pPr>
            <w:r>
              <w:rPr>
                <w:sz w:val="22"/>
              </w:rPr>
              <w:t>September 27, 2001</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ind w:start="-18" w:end="0"/>
              <w:jc w:val="both"/>
              <w:rPr>
                <w:sz w:val="22"/>
              </w:rPr>
            </w:pPr>
            <w:r>
              <w:rPr>
                <w:sz w:val="22"/>
              </w:rPr>
              <w:t xml:space="preserve">See Exhibit I attached hereto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firstLine="720"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ind w:start="-18" w:end="0"/>
              <w:jc w:val="both"/>
              <w:rPr>
                <w:sz w:val="22"/>
              </w:rPr>
            </w:pPr>
            <w:r>
              <w:rPr>
                <w:sz w:val="22"/>
              </w:rPr>
              <w:fldChar w:fldCharType="begin"/>
            </w:r>
            <w:r>
              <w:rPr>
                <w:sz w:val="22"/>
              </w:rPr>
              <w:instrText xml:space="preserve"> MERGEFIELD PaymentDates </w:instrText>
            </w:r>
            <w:r>
              <w:rPr>
                <w:sz w:val="22"/>
              </w:rPr>
              <w:fldChar w:fldCharType="separate"/>
            </w:r>
            <w:r>
              <w:rPr>
                <w:sz w:val="22"/>
              </w:rPr>
              <w:t>The Payment Dates as set forth on Exhibit I attached hereto</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rPr/>
            </w:pPr>
            <w:r>
              <w:rPr>
                <w:b/>
                <w:sz w:val="22"/>
              </w:rPr>
              <w:t>Fixed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 Payer:</w:t>
            </w:r>
          </w:p>
        </w:tc>
        <w:tc>
          <w:tcPr>
            <w:tcW w:w="6102" w:type="dxa"/>
            <w:tcBorders/>
          </w:tcPr>
          <w:p>
            <w:pPr>
              <w:pStyle w:val="Normal"/>
              <w:rPr/>
            </w:pPr>
            <w:r>
              <w:rPr>
                <w:sz w:val="22"/>
              </w:rPr>
              <w:fldChar w:fldCharType="begin"/>
            </w:r>
            <w:r>
              <w:rPr>
                <w:sz w:val="22"/>
              </w:rPr>
              <w:instrText xml:space="preserve"> MERGEFIELD ISDABuyer </w:instrText>
            </w:r>
            <w:r>
              <w:rPr>
                <w:sz w:val="22"/>
              </w:rPr>
              <w:fldChar w:fldCharType="separate"/>
            </w:r>
            <w:r>
              <w:rPr>
                <w:sz w:val="22"/>
              </w:rPr>
              <w:t xml:space="preserve">Party </w:t>
            </w:r>
            <w:r>
              <w:rPr>
                <w:sz w:val="22"/>
              </w:rPr>
              <w:fldChar w:fldCharType="end"/>
            </w:r>
            <w:r>
              <w:rPr>
                <w:sz w:val="22"/>
              </w:rPr>
              <w:t>A</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C$5.989</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pPr>
            <w:r>
              <w:rPr>
                <w:b/>
                <w:sz w:val="22"/>
              </w:rPr>
              <w:t>Floating Amount Details:</w:t>
            </w:r>
            <w:r>
              <w:rPr>
                <w:sz w:val="22"/>
              </w:rPr>
              <w:tab/>
            </w:r>
          </w:p>
        </w:tc>
        <w:tc>
          <w:tcPr>
            <w:tcW w:w="6102" w:type="dxa"/>
            <w:tcBorders/>
          </w:tcPr>
          <w:p>
            <w:pPr>
              <w:pStyle w:val="Normal"/>
              <w:snapToGrid w:val="false"/>
              <w:rPr>
                <w:sz w:val="22"/>
              </w:rPr>
            </w:pPr>
            <w:r>
              <w:rPr>
                <w:sz w:val="22"/>
              </w:rPr>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rHeight w:val="324" w:hRule="atLeast"/>
        </w:trPr>
        <w:tc>
          <w:tcPr>
            <w:tcW w:w="4338" w:type="dxa"/>
            <w:tcBorders/>
          </w:tcPr>
          <w:p>
            <w:pPr>
              <w:pStyle w:val="Normal"/>
              <w:ind w:firstLine="720" w:end="0"/>
              <w:rPr>
                <w:sz w:val="22"/>
              </w:rPr>
            </w:pPr>
            <w:r>
              <w:rPr>
                <w:sz w:val="22"/>
              </w:rPr>
              <w:t>Floating Price Payer:</w:t>
            </w:r>
          </w:p>
        </w:tc>
        <w:tc>
          <w:tcPr>
            <w:tcW w:w="6102" w:type="dxa"/>
            <w:tcBorders/>
          </w:tcPr>
          <w:p>
            <w:pPr>
              <w:pStyle w:val="Normal"/>
              <w:rPr/>
            </w:pPr>
            <w:r>
              <w:rPr>
                <w:sz w:val="22"/>
              </w:rPr>
              <w:fldChar w:fldCharType="begin"/>
            </w:r>
            <w:r>
              <w:rPr>
                <w:sz w:val="22"/>
              </w:rPr>
              <w:instrText xml:space="preserve"> MERGEFIELD ISDASeller </w:instrText>
            </w:r>
            <w:r>
              <w:rPr>
                <w:sz w:val="22"/>
              </w:rPr>
              <w:fldChar w:fldCharType="separate"/>
            </w:r>
            <w:r>
              <w:rPr>
                <w:sz w:val="22"/>
              </w:rPr>
              <w:t xml:space="preserve">Party </w:t>
            </w:r>
            <w:r>
              <w:rPr>
                <w:sz w:val="22"/>
              </w:rPr>
              <w:fldChar w:fldCharType="end"/>
            </w:r>
            <w:r>
              <w:rPr>
                <w:sz w:val="22"/>
              </w:rPr>
              <w:t>B</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rPr>
                <w:sz w:val="22"/>
              </w:rPr>
            </w:pPr>
            <w:r>
              <w:rPr>
                <w:sz w:val="22"/>
              </w:rPr>
            </w:r>
          </w:p>
        </w:tc>
      </w:tr>
      <w:tr>
        <w:trPr/>
        <w:tc>
          <w:tcPr>
            <w:tcW w:w="4338" w:type="dxa"/>
            <w:tcBorders/>
          </w:tcPr>
          <w:p>
            <w:pPr>
              <w:pStyle w:val="Normal"/>
              <w:ind w:firstLine="720" w:end="0"/>
              <w:rPr>
                <w:sz w:val="22"/>
              </w:rPr>
            </w:pPr>
            <w:r>
              <w:rPr>
                <w:sz w:val="22"/>
              </w:rPr>
              <w:t>Floating Price and Pricing Date(s):</w:t>
            </w:r>
          </w:p>
        </w:tc>
        <w:tc>
          <w:tcPr>
            <w:tcW w:w="6102" w:type="dxa"/>
            <w:tcBorders/>
          </w:tcPr>
          <w:p>
            <w:pPr>
              <w:pStyle w:val="Normal"/>
              <w:jc w:val="both"/>
              <w:rPr>
                <w:sz w:val="22"/>
              </w:rPr>
            </w:pPr>
            <w:r>
              <w:rPr>
                <w:sz w:val="22"/>
              </w:rPr>
              <w:t>For each Calculation Period, the average of all settlement prices (converted by the FX Rate) for each Friday, from and including the Effective Date through and including the Pricing Date for the applicable Calculation Period, for the March, 2002 NYMEX Henry Hub Natural Gas Futures Contract  as set forth on Exhibit I attached hereto</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Energy Conversion Rate:</w:t>
            </w:r>
          </w:p>
        </w:tc>
        <w:tc>
          <w:tcPr>
            <w:tcW w:w="6102" w:type="dxa"/>
            <w:tcBorders/>
          </w:tcPr>
          <w:p>
            <w:pPr>
              <w:pStyle w:val="Normal"/>
              <w:jc w:val="both"/>
              <w:rPr>
                <w:sz w:val="22"/>
              </w:rPr>
            </w:pPr>
            <w:r>
              <w:rPr>
                <w:sz w:val="22"/>
              </w:rPr>
              <w:t>“</w:t>
            </w:r>
            <w:r>
              <w:rPr>
                <w:sz w:val="22"/>
              </w:rPr>
              <w:t>Energy Conversion Rate” shall mean for conversion from Gigajoules (GJ’s”) to MMBtu, One (1) MMBtu shall be equal to 1.055056 GJ’s.  The Notional Quantity per Calculation Period shall be multiplied by the Energy Conversion Rate which will equal the equivalent Notional Quantity per Calculation Period in GJ’s.</w:t>
            </w:r>
          </w:p>
        </w:tc>
      </w:tr>
      <w:tr>
        <w:trPr/>
        <w:tc>
          <w:tcPr>
            <w:tcW w:w="4338" w:type="dxa"/>
            <w:tcBorders/>
          </w:tcPr>
          <w:p>
            <w:pPr>
              <w:pStyle w:val="Normal"/>
              <w:snapToGrid w:val="false"/>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rPr>
                <w:b/>
                <w:bCs/>
                <w:sz w:val="22"/>
              </w:rPr>
            </w:pPr>
            <w:r>
              <w:rPr>
                <w:b/>
                <w:bCs/>
                <w:sz w:val="22"/>
              </w:rPr>
              <w:t>Calculation Agent:</w:t>
            </w:r>
          </w:p>
        </w:tc>
        <w:tc>
          <w:tcPr>
            <w:tcW w:w="6102" w:type="dxa"/>
            <w:tcBorders/>
          </w:tcPr>
          <w:p>
            <w:pPr>
              <w:pStyle w:val="Normal"/>
              <w:jc w:val="both"/>
              <w:rPr>
                <w:sz w:val="22"/>
              </w:rPr>
            </w:pPr>
            <w:r>
              <w:rPr>
                <w:sz w:val="22"/>
              </w:rPr>
              <w:t>Party A</w:t>
            </w:r>
          </w:p>
        </w:tc>
      </w:tr>
      <w:tr>
        <w:trPr/>
        <w:tc>
          <w:tcPr>
            <w:tcW w:w="4338" w:type="dxa"/>
            <w:tcBorders/>
          </w:tcPr>
          <w:p>
            <w:pPr>
              <w:pStyle w:val="Normal"/>
              <w:snapToGrid w:val="false"/>
              <w:rPr>
                <w:b/>
                <w:bCs/>
                <w:sz w:val="22"/>
              </w:rPr>
            </w:pPr>
            <w:r>
              <w:rPr>
                <w:b/>
                <w:bCs/>
                <w:sz w:val="22"/>
              </w:rPr>
            </w:r>
          </w:p>
        </w:tc>
        <w:tc>
          <w:tcPr>
            <w:tcW w:w="6102" w:type="dxa"/>
            <w:tcBorders/>
          </w:tcPr>
          <w:p>
            <w:pPr>
              <w:pStyle w:val="Normal"/>
              <w:snapToGrid w:val="false"/>
              <w:jc w:val="both"/>
              <w:rPr>
                <w:b/>
                <w:bCs/>
                <w:sz w:val="22"/>
              </w:rPr>
            </w:pPr>
            <w:r>
              <w:rPr>
                <w:b/>
                <w:bCs/>
                <w:sz w:val="22"/>
              </w:rPr>
            </w:r>
          </w:p>
        </w:tc>
      </w:tr>
      <w:tr>
        <w:trPr/>
        <w:tc>
          <w:tcPr>
            <w:tcW w:w="4338" w:type="dxa"/>
            <w:tcBorders/>
          </w:tcPr>
          <w:p>
            <w:pPr>
              <w:pStyle w:val="Normal"/>
              <w:rPr>
                <w:b/>
                <w:bCs/>
                <w:sz w:val="22"/>
              </w:rPr>
            </w:pPr>
            <w:r>
              <w:rPr>
                <w:b/>
                <w:bCs/>
                <w:sz w:val="22"/>
              </w:rPr>
              <w:t>Other Provisions:</w:t>
            </w:r>
          </w:p>
        </w:tc>
        <w:tc>
          <w:tcPr>
            <w:tcW w:w="6102" w:type="dxa"/>
            <w:tcBorders/>
          </w:tcPr>
          <w:p>
            <w:pPr>
              <w:pStyle w:val="BodyTextIndent"/>
              <w:numPr>
                <w:ilvl w:val="0"/>
                <w:numId w:val="2"/>
              </w:numPr>
              <w:rPr/>
            </w:pPr>
            <w:r>
              <w:rPr/>
              <w:t xml:space="preserve">Optional Termination:  Either party may, on two (2) Business Days prior notice (which may be written or oral) to, but without the consent of, the other party hereto, elect to terminate this Transaction on a date specified in the notice (the “Optional Termination Date”).  Upon such optional termination, the parties will initially attempt to mutually agree upon a Settlement Amount to be paid in respect of the termination of this Transaction.  In the event that the parties are unable to so agree within one (1) Business Day of the day on which notice was given, the parties will determine the Settlement Amount as at the Optional Termination Date in respect of this Transaction in accordance with the terms of Section 6(e)(ii)(2) as though both parties were Affected Parties, Market Quotation applies and the Optional Termination Date were the Early Termination Date. </w:t>
            </w:r>
            <w:r>
              <w:rPr>
                <w:rFonts w:cs="Arial" w:ascii="Arial" w:hAnsi="Arial"/>
                <w:sz w:val="20"/>
              </w:rPr>
              <w:t xml:space="preserve"> </w:t>
            </w:r>
          </w:p>
          <w:p>
            <w:pPr>
              <w:pStyle w:val="BodyTextIndent"/>
              <w:tabs>
                <w:tab w:val="clear" w:pos="342"/>
              </w:tabs>
              <w:ind w:hanging="0" w:start="-18" w:end="0"/>
              <w:rPr/>
            </w:pPr>
            <w:r>
              <w:rPr/>
            </w:r>
          </w:p>
          <w:p>
            <w:pPr>
              <w:pStyle w:val="Normal"/>
              <w:tabs>
                <w:tab w:val="clear" w:pos="720"/>
                <w:tab w:val="left" w:pos="342" w:leader="none"/>
              </w:tabs>
              <w:ind w:hanging="360" w:start="342" w:end="0"/>
              <w:jc w:val="both"/>
              <w:rPr>
                <w:sz w:val="22"/>
              </w:rPr>
            </w:pPr>
            <w:r>
              <w:rPr>
                <w:sz w:val="22"/>
              </w:rPr>
              <w:t>(b)</w:t>
              <w:tab/>
              <w:t>Currency Conversion:  For the purposes of this Transaction, the Floating Price for each Friday in the Calculation Period shall be converted to a Canadian Dollar equivalent at the Canadian Dollar/U.S. Dollar spot exchange rate equal to the rate set forth on Reuters Page BOFC, under the headings 'Bank of Canada'; 'Canadian Dollar Exchange Rates'; 'NOON' opposite the caption 'USD' as of 12:00 p.m. noon, Toronto time, (the 'FX Rate') on each Friday in the Calculation Period (the 'FX Rate Calculation Date'), provided, however, that if such FX Rate Calculation Date is not a Toronto Business Day, the FX Rate will be determined on the Toronto Business Day immediately preceding such FX Rate Calculation Date.</w:t>
            </w:r>
          </w:p>
        </w:tc>
      </w:tr>
      <w:tr>
        <w:trPr/>
        <w:tc>
          <w:tcPr>
            <w:tcW w:w="4338" w:type="dxa"/>
            <w:tcBorders/>
          </w:tcPr>
          <w:p>
            <w:pPr>
              <w:pStyle w:val="Normal"/>
              <w:snapToGrid w:val="false"/>
              <w:rPr>
                <w:b/>
                <w:bCs/>
                <w:sz w:val="22"/>
              </w:rPr>
            </w:pPr>
            <w:r>
              <w:rPr>
                <w:b/>
                <w:bCs/>
                <w:sz w:val="22"/>
              </w:rPr>
            </w:r>
          </w:p>
        </w:tc>
        <w:tc>
          <w:tcPr>
            <w:tcW w:w="6102" w:type="dxa"/>
            <w:tcBorders/>
          </w:tcPr>
          <w:p>
            <w:pPr>
              <w:pStyle w:val="BodyText2"/>
              <w:snapToGrid w:val="false"/>
              <w:rPr>
                <w:b/>
                <w:bCs/>
                <w:sz w:val="22"/>
              </w:rPr>
            </w:pPr>
            <w:r>
              <w:rPr>
                <w:b/>
                <w:bCs/>
                <w:sz w:val="22"/>
              </w:rPr>
            </w:r>
          </w:p>
        </w:tc>
      </w:tr>
    </w:tbl>
    <w:p>
      <w:pPr>
        <w:pStyle w:val="Normal"/>
        <w:rPr/>
      </w:pPr>
      <w:r>
        <w:br w:type="page"/>
      </w:r>
      <w:r>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b/>
                <w:bCs/>
                <w:sz w:val="22"/>
              </w:rPr>
            </w:pPr>
            <w:r>
              <w:rPr>
                <w:sz w:val="22"/>
              </w:rPr>
              <w:t>3.  Account Details:</w:t>
            </w:r>
          </w:p>
        </w:tc>
        <w:tc>
          <w:tcPr>
            <w:tcW w:w="6102" w:type="dxa"/>
            <w:tcBorders/>
          </w:tcPr>
          <w:p>
            <w:pPr>
              <w:pStyle w:val="BodyText2"/>
              <w:snapToGrid w:val="false"/>
              <w:rPr>
                <w:b/>
                <w:bCs/>
                <w:sz w:val="22"/>
              </w:rPr>
            </w:pPr>
            <w:r>
              <w:rPr>
                <w:b/>
                <w:bCs/>
                <w:sz w:val="22"/>
              </w:rPr>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start="990" w:end="0"/>
              <w:rPr>
                <w:sz w:val="22"/>
              </w:rPr>
            </w:pPr>
            <w:r>
              <w:rPr>
                <w:sz w:val="22"/>
              </w:rPr>
              <w:t>Payment to Party A:</w:t>
            </w:r>
          </w:p>
        </w:tc>
        <w:tc>
          <w:tcPr>
            <w:tcW w:w="6102" w:type="dxa"/>
            <w:tcBorders/>
          </w:tcPr>
          <w:p>
            <w:pPr>
              <w:pStyle w:val="Normal"/>
              <w:jc w:val="both"/>
              <w:rPr>
                <w:sz w:val="22"/>
              </w:rPr>
            </w:pPr>
            <w:r>
              <w:rPr>
                <w:sz w:val="22"/>
              </w:rPr>
              <w:t>Bank of [     ]</w:t>
            </w:r>
          </w:p>
          <w:p>
            <w:pPr>
              <w:pStyle w:val="Normal"/>
              <w:jc w:val="both"/>
              <w:rPr>
                <w:sz w:val="22"/>
              </w:rPr>
            </w:pPr>
            <w:r>
              <w:rPr>
                <w:sz w:val="22"/>
              </w:rPr>
              <w:t>Acct. No.  [          ]</w:t>
            </w:r>
          </w:p>
          <w:p>
            <w:pPr>
              <w:pStyle w:val="Normal"/>
              <w:jc w:val="both"/>
              <w:rPr/>
            </w:pPr>
            <w:r>
              <w:rPr/>
              <w:t xml:space="preserve"> </w:t>
            </w:r>
            <w:r>
              <w:rPr/>
              <w:t>For credit of Enron North America Corp.</w:t>
            </w:r>
          </w:p>
          <w:p>
            <w:pPr>
              <w:pStyle w:val="BodyText2"/>
              <w:rPr/>
            </w:pPr>
            <w:r>
              <w:rPr/>
              <w:t>Acct. No.  [            ]</w:t>
            </w:r>
          </w:p>
        </w:tc>
      </w:tr>
      <w:tr>
        <w:trPr/>
        <w:tc>
          <w:tcPr>
            <w:tcW w:w="4338" w:type="dxa"/>
            <w:tcBorders/>
          </w:tcPr>
          <w:p>
            <w:pPr>
              <w:pStyle w:val="Normal"/>
              <w:snapToGrid w:val="false"/>
              <w:ind w:firstLine="720" w:end="0"/>
              <w:rPr>
                <w:sz w:val="22"/>
              </w:rPr>
            </w:pPr>
            <w:r>
              <w:rPr>
                <w:sz w:val="22"/>
              </w:rPr>
            </w:r>
          </w:p>
        </w:tc>
        <w:tc>
          <w:tcPr>
            <w:tcW w:w="6102" w:type="dxa"/>
            <w:tcBorders/>
          </w:tcPr>
          <w:p>
            <w:pPr>
              <w:pStyle w:val="BodyText2"/>
              <w:snapToGrid w:val="false"/>
              <w:rPr>
                <w:sz w:val="22"/>
              </w:rPr>
            </w:pPr>
            <w:r>
              <w:rPr>
                <w:sz w:val="22"/>
              </w:rPr>
            </w:r>
          </w:p>
        </w:tc>
      </w:tr>
      <w:tr>
        <w:trPr/>
        <w:tc>
          <w:tcPr>
            <w:tcW w:w="4338" w:type="dxa"/>
            <w:tcBorders/>
          </w:tcPr>
          <w:p>
            <w:pPr>
              <w:pStyle w:val="Normal"/>
              <w:ind w:firstLine="990" w:end="0"/>
              <w:rPr>
                <w:sz w:val="22"/>
              </w:rPr>
            </w:pPr>
            <w:r>
              <w:rPr>
                <w:sz w:val="22"/>
              </w:rPr>
              <w:t>Payment to Party B:</w:t>
            </w:r>
          </w:p>
        </w:tc>
        <w:tc>
          <w:tcPr>
            <w:tcW w:w="6102" w:type="dxa"/>
            <w:tcBorders/>
          </w:tcPr>
          <w:p>
            <w:pPr>
              <w:pStyle w:val="BodyText2"/>
              <w:rPr/>
            </w:pPr>
            <w:r>
              <w:rPr/>
              <w:t>Please advise</w:t>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snapToGrid w:val="false"/>
              <w:ind w:firstLine="720" w:end="0"/>
              <w:jc w:val="both"/>
              <w:rPr>
                <w:sz w:val="22"/>
              </w:rPr>
            </w:pPr>
            <w:r>
              <w:rPr>
                <w:sz w:val="22"/>
              </w:rPr>
            </w:r>
          </w:p>
        </w:tc>
      </w:tr>
      <w:tr>
        <w:trPr/>
        <w:tc>
          <w:tcPr>
            <w:tcW w:w="10440" w:type="dxa"/>
            <w:gridSpan w:val="2"/>
            <w:tcBorders/>
          </w:tcPr>
          <w:p>
            <w:pPr>
              <w:pStyle w:val="Normal"/>
              <w:ind w:firstLine="720" w:end="0"/>
              <w:jc w:val="both"/>
              <w:rPr>
                <w:sz w:val="22"/>
              </w:rPr>
            </w:pP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ab/>
      </w:r>
      <w:r>
        <w:rPr>
          <w:sz w:val="22"/>
        </w:rPr>
        <w:fldChar w:fldCharType="begin"/>
      </w:r>
      <w:r>
        <w:rPr>
          <w:sz w:val="22"/>
        </w:rPr>
        <w:instrText xml:space="preserve"> MERGEFIELD CanadaSecurityLanguage </w:instrText>
      </w:r>
      <w:r>
        <w:rPr>
          <w:sz w:val="22"/>
        </w:rPr>
        <w:fldChar w:fldCharType="separate"/>
      </w:r>
      <w:r>
        <w:rPr>
          <w:sz w:val="22"/>
        </w:rPr>
      </w:r>
      <w:r>
        <w:rPr>
          <w:sz w:val="22"/>
        </w:rPr>
        <w:fldChar w:fldCharType="end"/>
      </w: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keepLines/>
              <w:rPr>
                <w:sz w:val="22"/>
              </w:rPr>
            </w:pPr>
            <w:r>
              <w:rPr>
                <w:sz w:val="22"/>
              </w:rPr>
              <w:t>Yours sincerely,</w:t>
            </w:r>
          </w:p>
          <w:p>
            <w:pPr>
              <w:pStyle w:val="Normal"/>
              <w:keepLines/>
              <w:rPr>
                <w:sz w:val="22"/>
              </w:rPr>
            </w:pPr>
            <w:r>
              <w:rPr>
                <w:sz w:val="22"/>
              </w:rPr>
            </w:r>
          </w:p>
          <w:p>
            <w:pPr>
              <w:pStyle w:val="Normal"/>
              <w:keepLines/>
              <w:rPr>
                <w:sz w:val="22"/>
              </w:rPr>
            </w:pPr>
            <w:r>
              <w:rPr>
                <w:sz w:val="22"/>
              </w:rPr>
            </w:r>
          </w:p>
          <w:p>
            <w:pPr>
              <w:pStyle w:val="Normal"/>
              <w:keepLines/>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keepLines/>
              <w:rPr>
                <w:sz w:val="22"/>
              </w:rPr>
            </w:pPr>
            <w:r>
              <w:rPr>
                <w:sz w:val="22"/>
              </w:rPr>
            </w:r>
          </w:p>
          <w:p>
            <w:pPr>
              <w:pStyle w:val="Normal"/>
              <w:keepLines/>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keepLines/>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keepLines/>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p>
        </w:tc>
        <w:tc>
          <w:tcPr>
            <w:tcW w:w="5292" w:type="dxa"/>
            <w:tcBorders/>
          </w:tcPr>
          <w:p>
            <w:pPr>
              <w:pStyle w:val="Normal"/>
              <w:keepLines/>
              <w:rPr>
                <w:sz w:val="22"/>
              </w:rPr>
            </w:pPr>
            <w:r>
              <w:rPr>
                <w:sz w:val="22"/>
              </w:rPr>
              <w:t>Deal No. [              ]</w:t>
            </w:r>
          </w:p>
          <w:p>
            <w:pPr>
              <w:pStyle w:val="Normal"/>
              <w:keepLines/>
              <w:rPr>
                <w:sz w:val="22"/>
              </w:rPr>
            </w:pPr>
            <w:r>
              <w:rPr>
                <w:sz w:val="22"/>
              </w:rPr>
              <w:t>Confirmed as of the date first above written:</w:t>
            </w:r>
          </w:p>
          <w:p>
            <w:pPr>
              <w:pStyle w:val="Normal"/>
              <w:keepLines/>
              <w:rPr>
                <w:sz w:val="22"/>
              </w:rPr>
            </w:pPr>
            <w:r>
              <w:rPr>
                <w:sz w:val="22"/>
              </w:rPr>
            </w:r>
          </w:p>
          <w:p>
            <w:pPr>
              <w:pStyle w:val="Normal"/>
              <w:keepLines/>
              <w:rPr>
                <w:sz w:val="22"/>
              </w:rPr>
            </w:pPr>
            <w:r>
              <w:rPr>
                <w:sz w:val="22"/>
              </w:rPr>
              <w:t>The Chase Manhattan Bank</w:t>
            </w:r>
          </w:p>
          <w:p>
            <w:pPr>
              <w:pStyle w:val="Normal"/>
              <w:keepLines/>
              <w:rPr>
                <w:sz w:val="22"/>
              </w:rPr>
            </w:pPr>
            <w:r>
              <w:rPr>
                <w:sz w:val="22"/>
              </w:rPr>
            </w:r>
          </w:p>
          <w:p>
            <w:pPr>
              <w:pStyle w:val="Normal"/>
              <w:keepLines/>
              <w:rPr>
                <w:sz w:val="22"/>
              </w:rPr>
            </w:pPr>
            <w:r>
              <w:rPr>
                <w:sz w:val="22"/>
              </w:rPr>
            </w:r>
          </w:p>
          <w:p>
            <w:pPr>
              <w:pStyle w:val="Normal"/>
              <w:keepLines/>
              <w:rPr/>
            </w:pPr>
            <w:r>
              <w:rPr>
                <w:sz w:val="22"/>
              </w:rPr>
              <w:t xml:space="preserve">By:  </w:t>
            </w:r>
            <w:r>
              <w:rPr>
                <w:sz w:val="22"/>
                <w:u w:val="single"/>
              </w:rPr>
              <w:tab/>
              <w:tab/>
              <w:tab/>
              <w:tab/>
              <w:tab/>
            </w:r>
            <w:r>
              <w:rPr>
                <w:sz w:val="22"/>
              </w:rPr>
              <w:tab/>
            </w:r>
          </w:p>
          <w:p>
            <w:pPr>
              <w:pStyle w:val="Normal"/>
              <w:keepLines/>
              <w:rPr/>
            </w:pPr>
            <w:r>
              <w:rPr>
                <w:sz w:val="22"/>
              </w:rPr>
              <w:t xml:space="preserve">Name:  </w:t>
            </w:r>
            <w:r>
              <w:rPr>
                <w:sz w:val="22"/>
                <w:u w:val="single"/>
              </w:rPr>
              <w:tab/>
              <w:tab/>
              <w:tab/>
              <w:tab/>
              <w:tab/>
            </w:r>
          </w:p>
          <w:p>
            <w:pPr>
              <w:pStyle w:val="Normal"/>
              <w:keepLines/>
              <w:rPr>
                <w:sz w:val="22"/>
              </w:rPr>
            </w:pPr>
            <w:r>
              <w:rPr>
                <w:sz w:val="22"/>
              </w:rPr>
              <w:t xml:space="preserve">Title:  </w:t>
            </w:r>
            <w:r>
              <w:rPr>
                <w:sz w:val="22"/>
                <w:u w:val="single"/>
              </w:rPr>
              <w:tab/>
              <w:tab/>
              <w:tab/>
              <w:tab/>
              <w:tab/>
            </w:r>
          </w:p>
        </w:tc>
      </w:tr>
    </w:tbl>
    <w:p>
      <w:pPr>
        <w:sectPr>
          <w:headerReference w:type="default" r:id="rId3"/>
          <w:headerReference w:type="first" r:id="rId4"/>
          <w:footerReference w:type="default" r:id="rId5"/>
          <w:footerReference w:type="first" r:id="rId6"/>
          <w:type w:val="nextPage"/>
          <w:pgSz w:w="12240" w:h="15840"/>
          <w:pgMar w:left="1152" w:right="864" w:gutter="0" w:header="720" w:top="864" w:footer="720" w:bottom="864"/>
          <w:pgNumType w:fmt="decimal"/>
          <w:formProt w:val="false"/>
          <w:titlePg/>
          <w:textDirection w:val="lrTb"/>
          <w:docGrid w:type="default" w:linePitch="360" w:charSpace="0"/>
        </w:sectPr>
      </w:pPr>
    </w:p>
    <w:p>
      <w:pPr>
        <w:pStyle w:val="Normal"/>
        <w:jc w:val="center"/>
        <w:rPr>
          <w:b/>
          <w:sz w:val="22"/>
        </w:rPr>
      </w:pPr>
      <w:r>
        <w:rPr>
          <w:b/>
          <w:sz w:val="22"/>
        </w:rPr>
        <w:t>Exhibit I</w:t>
      </w:r>
    </w:p>
    <w:p>
      <w:pPr>
        <w:pStyle w:val="Normal"/>
        <w:jc w:val="center"/>
        <w:rPr>
          <w:b/>
          <w:sz w:val="22"/>
        </w:rPr>
      </w:pPr>
      <w:r>
        <w:rPr>
          <w:b/>
          <w:sz w:val="22"/>
        </w:rPr>
        <w:t>Contract No. [            ]</w:t>
      </w:r>
    </w:p>
    <w:p>
      <w:pPr>
        <w:pStyle w:val="Normal"/>
        <w:rPr>
          <w:b/>
          <w:sz w:val="22"/>
        </w:rPr>
      </w:pPr>
      <w:r>
        <w:rPr>
          <w:b/>
          <w:sz w:val="22"/>
        </w:rPr>
      </w:r>
    </w:p>
    <w:p>
      <w:pPr>
        <w:pStyle w:val="BodyText"/>
        <w:rPr>
          <w:b/>
        </w:rPr>
      </w:pPr>
      <w:r>
        <w:rPr>
          <w:b/>
        </w:rPr>
        <w:tab/>
        <w:tab/>
        <w:t>Quantity Measurement: Gigajoules</w:t>
      </w:r>
    </w:p>
    <w:p>
      <w:pPr>
        <w:pStyle w:val="BodyText"/>
        <w:rPr>
          <w:b/>
        </w:rPr>
      </w:pPr>
      <w:r>
        <w:rPr>
          <w:b/>
        </w:rPr>
      </w:r>
    </w:p>
    <w:p>
      <w:pPr>
        <w:pStyle w:val="BodyText"/>
        <w:rPr/>
      </w:pPr>
      <w:r>
        <w:rPr/>
        <w:tab/>
        <w:tab/>
      </w:r>
    </w:p>
    <w:tbl>
      <w:tblPr>
        <w:tblW w:w="10062" w:type="dxa"/>
        <w:jc w:val="start"/>
        <w:tblInd w:w="378" w:type="dxa"/>
        <w:tblLayout w:type="fixed"/>
        <w:tblCellMar>
          <w:top w:w="0" w:type="dxa"/>
          <w:start w:w="108" w:type="dxa"/>
          <w:bottom w:w="0" w:type="dxa"/>
          <w:end w:w="108" w:type="dxa"/>
        </w:tblCellMar>
      </w:tblPr>
      <w:tblGrid>
        <w:gridCol w:w="3870"/>
        <w:gridCol w:w="2070"/>
        <w:gridCol w:w="1980"/>
        <w:gridCol w:w="2142"/>
      </w:tblGrid>
      <w:tr>
        <w:trPr/>
        <w:tc>
          <w:tcPr>
            <w:tcW w:w="3870" w:type="dxa"/>
            <w:tcBorders/>
          </w:tcPr>
          <w:p>
            <w:pPr>
              <w:pStyle w:val="BodyText"/>
              <w:snapToGrid w:val="false"/>
              <w:ind w:start="162" w:end="0"/>
              <w:rPr>
                <w:b/>
                <w:sz w:val="20"/>
              </w:rPr>
            </w:pPr>
            <w:r>
              <w:rPr>
                <w:b/>
                <w:sz w:val="20"/>
              </w:rPr>
            </w:r>
          </w:p>
          <w:p>
            <w:pPr>
              <w:pStyle w:val="BodyText"/>
              <w:ind w:start="162" w:end="0"/>
              <w:rPr>
                <w:b/>
                <w:sz w:val="20"/>
              </w:rPr>
            </w:pPr>
            <w:r>
              <w:rPr>
                <w:b/>
                <w:sz w:val="20"/>
              </w:rPr>
              <w:t>Calculation</w:t>
            </w:r>
          </w:p>
          <w:p>
            <w:pPr>
              <w:pStyle w:val="BodyText"/>
              <w:ind w:start="162" w:end="0"/>
              <w:rPr>
                <w:b/>
                <w:sz w:val="20"/>
              </w:rPr>
            </w:pPr>
            <w:r>
              <w:rPr>
                <w:b/>
                <w:sz w:val="20"/>
              </w:rPr>
              <w:t xml:space="preserve">    </w:t>
            </w:r>
            <w:r>
              <w:rPr>
                <w:b/>
                <w:sz w:val="20"/>
              </w:rPr>
              <w:t>Period</w:t>
            </w:r>
          </w:p>
        </w:tc>
        <w:tc>
          <w:tcPr>
            <w:tcW w:w="2070" w:type="dxa"/>
            <w:tcBorders/>
          </w:tcPr>
          <w:p>
            <w:pPr>
              <w:pStyle w:val="BodyText"/>
              <w:snapToGrid w:val="false"/>
              <w:jc w:val="center"/>
              <w:rPr>
                <w:b/>
                <w:sz w:val="20"/>
              </w:rPr>
            </w:pPr>
            <w:r>
              <w:rPr>
                <w:b/>
                <w:sz w:val="20"/>
              </w:rPr>
            </w:r>
          </w:p>
          <w:p>
            <w:pPr>
              <w:pStyle w:val="BodyText"/>
              <w:jc w:val="center"/>
              <w:rPr>
                <w:b/>
                <w:sz w:val="20"/>
              </w:rPr>
            </w:pPr>
            <w:r>
              <w:rPr>
                <w:b/>
                <w:sz w:val="20"/>
              </w:rPr>
              <w:t>Pricing</w:t>
            </w:r>
          </w:p>
          <w:p>
            <w:pPr>
              <w:pStyle w:val="BodyText"/>
              <w:jc w:val="center"/>
              <w:rPr>
                <w:b/>
                <w:sz w:val="20"/>
              </w:rPr>
            </w:pPr>
            <w:r>
              <w:rPr>
                <w:b/>
                <w:sz w:val="20"/>
              </w:rPr>
              <w:t>Date</w:t>
            </w:r>
          </w:p>
        </w:tc>
        <w:tc>
          <w:tcPr>
            <w:tcW w:w="1980" w:type="dxa"/>
            <w:tcBorders/>
          </w:tcPr>
          <w:p>
            <w:pPr>
              <w:pStyle w:val="BodyText"/>
              <w:ind w:start="162" w:end="0"/>
              <w:jc w:val="center"/>
              <w:rPr>
                <w:b/>
                <w:sz w:val="20"/>
              </w:rPr>
            </w:pPr>
            <w:r>
              <w:rPr>
                <w:b/>
                <w:sz w:val="20"/>
              </w:rPr>
              <w:t>Notional Quantity</w:t>
            </w:r>
          </w:p>
          <w:p>
            <w:pPr>
              <w:pStyle w:val="BodyText"/>
              <w:ind w:start="162" w:end="0"/>
              <w:jc w:val="center"/>
              <w:rPr>
                <w:b/>
                <w:sz w:val="20"/>
              </w:rPr>
            </w:pPr>
            <w:r>
              <w:rPr>
                <w:b/>
                <w:sz w:val="20"/>
              </w:rPr>
              <w:t>per Calculation</w:t>
            </w:r>
          </w:p>
          <w:p>
            <w:pPr>
              <w:pStyle w:val="BodyText"/>
              <w:ind w:start="162" w:end="0"/>
              <w:jc w:val="center"/>
              <w:rPr>
                <w:b/>
                <w:sz w:val="20"/>
              </w:rPr>
            </w:pPr>
            <w:r>
              <w:rPr>
                <w:b/>
                <w:sz w:val="20"/>
              </w:rPr>
              <w:t>Period (GJ)</w:t>
            </w:r>
          </w:p>
        </w:tc>
        <w:tc>
          <w:tcPr>
            <w:tcW w:w="2142" w:type="dxa"/>
            <w:tcBorders/>
          </w:tcPr>
          <w:p>
            <w:pPr>
              <w:pStyle w:val="BodyText"/>
              <w:snapToGrid w:val="false"/>
              <w:ind w:start="162" w:end="0"/>
              <w:jc w:val="center"/>
              <w:rPr>
                <w:b/>
                <w:sz w:val="20"/>
              </w:rPr>
            </w:pPr>
            <w:r>
              <w:rPr>
                <w:b/>
                <w:sz w:val="20"/>
              </w:rPr>
            </w:r>
          </w:p>
          <w:p>
            <w:pPr>
              <w:pStyle w:val="BodyText"/>
              <w:ind w:start="162" w:end="0"/>
              <w:jc w:val="center"/>
              <w:rPr>
                <w:b/>
                <w:sz w:val="20"/>
              </w:rPr>
            </w:pPr>
            <w:r>
              <w:rPr>
                <w:b/>
                <w:sz w:val="20"/>
              </w:rPr>
              <w:t>Payment</w:t>
            </w:r>
          </w:p>
          <w:p>
            <w:pPr>
              <w:pStyle w:val="BodyText"/>
              <w:ind w:start="162" w:end="0"/>
              <w:jc w:val="center"/>
              <w:rPr>
                <w:b/>
                <w:sz w:val="20"/>
              </w:rPr>
            </w:pPr>
            <w:r>
              <w:rPr>
                <w:b/>
                <w:sz w:val="20"/>
              </w:rPr>
              <w:t>Date</w:t>
            </w:r>
          </w:p>
        </w:tc>
      </w:tr>
      <w:tr>
        <w:trPr/>
        <w:tc>
          <w:tcPr>
            <w:tcW w:w="3870" w:type="dxa"/>
            <w:tcBorders/>
          </w:tcPr>
          <w:p>
            <w:pPr>
              <w:pStyle w:val="BodyText"/>
              <w:rPr>
                <w:b/>
                <w:sz w:val="20"/>
              </w:rPr>
            </w:pPr>
            <w:r>
              <w:rPr>
                <w:b/>
                <w:sz w:val="20"/>
              </w:rPr>
              <w:t>------------------</w:t>
            </w:r>
          </w:p>
        </w:tc>
        <w:tc>
          <w:tcPr>
            <w:tcW w:w="2070" w:type="dxa"/>
            <w:tcBorders/>
          </w:tcPr>
          <w:p>
            <w:pPr>
              <w:pStyle w:val="BodyText"/>
              <w:jc w:val="center"/>
              <w:rPr>
                <w:b/>
                <w:sz w:val="20"/>
              </w:rPr>
            </w:pPr>
            <w:r>
              <w:rPr>
                <w:b/>
                <w:sz w:val="20"/>
              </w:rPr>
              <w:t>-----------------</w:t>
            </w:r>
          </w:p>
        </w:tc>
        <w:tc>
          <w:tcPr>
            <w:tcW w:w="1980" w:type="dxa"/>
            <w:tcBorders/>
          </w:tcPr>
          <w:p>
            <w:pPr>
              <w:pStyle w:val="BodyText"/>
              <w:ind w:firstLine="162" w:end="0"/>
              <w:rPr>
                <w:b/>
                <w:sz w:val="20"/>
              </w:rPr>
            </w:pPr>
            <w:r>
              <w:rPr>
                <w:b/>
                <w:sz w:val="20"/>
              </w:rPr>
              <w:t>-----------------------</w:t>
            </w:r>
          </w:p>
        </w:tc>
        <w:tc>
          <w:tcPr>
            <w:tcW w:w="2142" w:type="dxa"/>
            <w:tcBorders/>
          </w:tcPr>
          <w:p>
            <w:pPr>
              <w:pStyle w:val="BodyText"/>
              <w:jc w:val="center"/>
              <w:rPr>
                <w:b/>
                <w:sz w:val="20"/>
              </w:rPr>
            </w:pPr>
            <w:r>
              <w:rPr>
                <w:b/>
                <w:sz w:val="20"/>
              </w:rPr>
              <w:t>---------------</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rPr>
                <w:b/>
                <w:sz w:val="20"/>
              </w:rPr>
            </w:pPr>
            <w:r>
              <w:rPr>
                <w:b/>
                <w:sz w:val="20"/>
              </w:rPr>
            </w:r>
          </w:p>
        </w:tc>
        <w:tc>
          <w:tcPr>
            <w:tcW w:w="2142" w:type="dxa"/>
            <w:tcBorders/>
          </w:tcPr>
          <w:p>
            <w:pPr>
              <w:pStyle w:val="BodyText"/>
              <w:snapToGrid w:val="false"/>
              <w:rPr>
                <w:b/>
                <w:sz w:val="20"/>
              </w:rPr>
            </w:pPr>
            <w:r>
              <w:rPr>
                <w:b/>
                <w:sz w:val="20"/>
              </w:rPr>
            </w:r>
          </w:p>
        </w:tc>
      </w:tr>
      <w:tr>
        <w:trPr/>
        <w:tc>
          <w:tcPr>
            <w:tcW w:w="3870" w:type="dxa"/>
            <w:tcBorders/>
          </w:tcPr>
          <w:p>
            <w:pPr>
              <w:pStyle w:val="BodyText"/>
              <w:rPr>
                <w:b/>
                <w:sz w:val="20"/>
              </w:rPr>
            </w:pPr>
            <w:r>
              <w:rPr>
                <w:b/>
                <w:sz w:val="20"/>
              </w:rPr>
              <w:t>September 29, 2000 – December 22, 2000</w:t>
            </w:r>
          </w:p>
        </w:tc>
        <w:tc>
          <w:tcPr>
            <w:tcW w:w="2070" w:type="dxa"/>
            <w:tcBorders/>
          </w:tcPr>
          <w:p>
            <w:pPr>
              <w:pStyle w:val="BodyText"/>
              <w:ind w:start="162" w:end="0"/>
              <w:rPr>
                <w:b/>
                <w:sz w:val="20"/>
              </w:rPr>
            </w:pPr>
            <w:r>
              <w:rPr>
                <w:b/>
                <w:sz w:val="20"/>
              </w:rPr>
              <w:t>December 22, 2000</w:t>
            </w:r>
          </w:p>
        </w:tc>
        <w:tc>
          <w:tcPr>
            <w:tcW w:w="1980" w:type="dxa"/>
            <w:tcBorders/>
          </w:tcPr>
          <w:p>
            <w:pPr>
              <w:pStyle w:val="BodyText"/>
              <w:ind w:start="72" w:end="162"/>
              <w:jc w:val="end"/>
              <w:rPr>
                <w:b/>
                <w:sz w:val="20"/>
              </w:rPr>
            </w:pPr>
            <w:r>
              <w:rPr>
                <w:b/>
                <w:sz w:val="20"/>
              </w:rPr>
              <w:t>825,854</w:t>
            </w:r>
          </w:p>
        </w:tc>
        <w:tc>
          <w:tcPr>
            <w:tcW w:w="2142" w:type="dxa"/>
            <w:tcBorders/>
          </w:tcPr>
          <w:p>
            <w:pPr>
              <w:pStyle w:val="BodyText"/>
              <w:ind w:start="72" w:end="0"/>
              <w:rPr>
                <w:b/>
                <w:sz w:val="20"/>
              </w:rPr>
            </w:pPr>
            <w:r>
              <w:rPr>
                <w:b/>
                <w:sz w:val="20"/>
              </w:rPr>
              <w:t>December 29, 2000</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March 23, 2001</w:t>
            </w:r>
          </w:p>
        </w:tc>
        <w:tc>
          <w:tcPr>
            <w:tcW w:w="2070" w:type="dxa"/>
            <w:tcBorders/>
          </w:tcPr>
          <w:p>
            <w:pPr>
              <w:pStyle w:val="BodyText"/>
              <w:ind w:start="162" w:end="0"/>
              <w:rPr>
                <w:b/>
                <w:sz w:val="20"/>
              </w:rPr>
            </w:pPr>
            <w:r>
              <w:rPr>
                <w:b/>
                <w:sz w:val="20"/>
              </w:rPr>
              <w:t>March 23, 2001</w:t>
            </w:r>
          </w:p>
        </w:tc>
        <w:tc>
          <w:tcPr>
            <w:tcW w:w="1980" w:type="dxa"/>
            <w:tcBorders/>
          </w:tcPr>
          <w:p>
            <w:pPr>
              <w:pStyle w:val="BodyText"/>
              <w:tabs>
                <w:tab w:val="clear" w:pos="720"/>
                <w:tab w:val="right" w:pos="1512" w:leader="none"/>
              </w:tabs>
              <w:ind w:start="72" w:end="162"/>
              <w:jc w:val="end"/>
              <w:rPr>
                <w:b/>
                <w:sz w:val="20"/>
              </w:rPr>
            </w:pPr>
            <w:r>
              <w:rPr>
                <w:b/>
                <w:sz w:val="20"/>
              </w:rPr>
              <w:t>821,417</w:t>
            </w:r>
          </w:p>
        </w:tc>
        <w:tc>
          <w:tcPr>
            <w:tcW w:w="2142" w:type="dxa"/>
            <w:tcBorders/>
          </w:tcPr>
          <w:p>
            <w:pPr>
              <w:pStyle w:val="BodyText"/>
              <w:ind w:start="72" w:end="0"/>
              <w:rPr>
                <w:b/>
                <w:sz w:val="20"/>
              </w:rPr>
            </w:pPr>
            <w:r>
              <w:rPr>
                <w:b/>
                <w:sz w:val="20"/>
              </w:rPr>
              <w:t>March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June 22, 2001</w:t>
            </w:r>
          </w:p>
        </w:tc>
        <w:tc>
          <w:tcPr>
            <w:tcW w:w="2070" w:type="dxa"/>
            <w:tcBorders/>
          </w:tcPr>
          <w:p>
            <w:pPr>
              <w:pStyle w:val="BodyText"/>
              <w:ind w:start="162" w:end="0"/>
              <w:rPr>
                <w:b/>
                <w:sz w:val="20"/>
              </w:rPr>
            </w:pPr>
            <w:r>
              <w:rPr>
                <w:b/>
                <w:sz w:val="20"/>
              </w:rPr>
              <w:t>June 22, 2001</w:t>
            </w:r>
          </w:p>
        </w:tc>
        <w:tc>
          <w:tcPr>
            <w:tcW w:w="1980" w:type="dxa"/>
            <w:tcBorders/>
          </w:tcPr>
          <w:p>
            <w:pPr>
              <w:pStyle w:val="BodyText"/>
              <w:tabs>
                <w:tab w:val="clear" w:pos="720"/>
                <w:tab w:val="right" w:pos="1602" w:leader="none"/>
              </w:tabs>
              <w:ind w:start="72" w:end="162"/>
              <w:jc w:val="end"/>
              <w:rPr>
                <w:b/>
                <w:sz w:val="20"/>
              </w:rPr>
            </w:pPr>
            <w:r>
              <w:rPr>
                <w:b/>
                <w:sz w:val="20"/>
              </w:rPr>
              <w:t>830,292</w:t>
            </w:r>
          </w:p>
        </w:tc>
        <w:tc>
          <w:tcPr>
            <w:tcW w:w="2142" w:type="dxa"/>
            <w:tcBorders/>
          </w:tcPr>
          <w:p>
            <w:pPr>
              <w:pStyle w:val="BodyText"/>
              <w:ind w:start="72" w:end="0"/>
              <w:rPr>
                <w:b/>
                <w:sz w:val="20"/>
              </w:rPr>
            </w:pPr>
            <w:r>
              <w:rPr>
                <w:b/>
                <w:sz w:val="20"/>
              </w:rPr>
              <w:t>June 29,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tabs>
                <w:tab w:val="clear" w:pos="720"/>
                <w:tab w:val="right" w:pos="1602" w:leader="none"/>
              </w:tabs>
              <w:snapToGrid w:val="false"/>
              <w:ind w:start="72" w:end="162"/>
              <w:jc w:val="end"/>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rPr>
                <w:b/>
                <w:sz w:val="20"/>
              </w:rPr>
            </w:pPr>
            <w:r>
              <w:rPr>
                <w:b/>
                <w:sz w:val="20"/>
              </w:rPr>
              <w:t>September 29, 2000 – September 21, 2001</w:t>
            </w:r>
          </w:p>
        </w:tc>
        <w:tc>
          <w:tcPr>
            <w:tcW w:w="2070" w:type="dxa"/>
            <w:tcBorders/>
          </w:tcPr>
          <w:p>
            <w:pPr>
              <w:pStyle w:val="BodyText"/>
              <w:ind w:start="162" w:end="0"/>
              <w:rPr>
                <w:b/>
                <w:sz w:val="20"/>
              </w:rPr>
            </w:pPr>
            <w:r>
              <w:rPr>
                <w:b/>
                <w:sz w:val="20"/>
              </w:rPr>
              <w:t>September 21, 2001</w:t>
            </w:r>
          </w:p>
        </w:tc>
        <w:tc>
          <w:tcPr>
            <w:tcW w:w="1980" w:type="dxa"/>
            <w:tcBorders/>
          </w:tcPr>
          <w:p>
            <w:pPr>
              <w:pStyle w:val="BodyText"/>
              <w:tabs>
                <w:tab w:val="clear" w:pos="720"/>
                <w:tab w:val="right" w:pos="1602" w:leader="none"/>
              </w:tabs>
              <w:ind w:start="72" w:end="162"/>
              <w:jc w:val="end"/>
              <w:rPr>
                <w:b/>
                <w:sz w:val="20"/>
              </w:rPr>
            </w:pPr>
            <w:r>
              <w:rPr>
                <w:b/>
                <w:sz w:val="20"/>
              </w:rPr>
              <w:t>50,094,357</w:t>
            </w:r>
          </w:p>
        </w:tc>
        <w:tc>
          <w:tcPr>
            <w:tcW w:w="2142" w:type="dxa"/>
            <w:tcBorders/>
          </w:tcPr>
          <w:p>
            <w:pPr>
              <w:pStyle w:val="BodyText"/>
              <w:ind w:start="72" w:end="0"/>
              <w:rPr>
                <w:b/>
                <w:sz w:val="20"/>
              </w:rPr>
            </w:pPr>
            <w:r>
              <w:rPr>
                <w:b/>
                <w:sz w:val="20"/>
              </w:rPr>
              <w:t>September 27, 2001</w:t>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r>
        <w:trPr/>
        <w:tc>
          <w:tcPr>
            <w:tcW w:w="3870" w:type="dxa"/>
            <w:tcBorders/>
          </w:tcPr>
          <w:p>
            <w:pPr>
              <w:pStyle w:val="BodyText"/>
              <w:snapToGrid w:val="false"/>
              <w:rPr>
                <w:b/>
                <w:sz w:val="20"/>
              </w:rPr>
            </w:pPr>
            <w:r>
              <w:rPr>
                <w:b/>
                <w:sz w:val="20"/>
              </w:rPr>
            </w:r>
          </w:p>
        </w:tc>
        <w:tc>
          <w:tcPr>
            <w:tcW w:w="2070" w:type="dxa"/>
            <w:tcBorders/>
          </w:tcPr>
          <w:p>
            <w:pPr>
              <w:pStyle w:val="BodyText"/>
              <w:snapToGrid w:val="false"/>
              <w:ind w:start="162" w:end="0"/>
              <w:rPr>
                <w:b/>
                <w:sz w:val="20"/>
              </w:rPr>
            </w:pPr>
            <w:r>
              <w:rPr>
                <w:b/>
                <w:sz w:val="20"/>
              </w:rPr>
            </w:r>
          </w:p>
        </w:tc>
        <w:tc>
          <w:tcPr>
            <w:tcW w:w="1980" w:type="dxa"/>
            <w:tcBorders/>
          </w:tcPr>
          <w:p>
            <w:pPr>
              <w:pStyle w:val="BodyText"/>
              <w:snapToGrid w:val="false"/>
              <w:ind w:start="72" w:end="0"/>
              <w:rPr>
                <w:b/>
                <w:sz w:val="20"/>
              </w:rPr>
            </w:pPr>
            <w:r>
              <w:rPr>
                <w:b/>
                <w:sz w:val="20"/>
              </w:rPr>
            </w:r>
          </w:p>
        </w:tc>
        <w:tc>
          <w:tcPr>
            <w:tcW w:w="2142" w:type="dxa"/>
            <w:tcBorders/>
          </w:tcPr>
          <w:p>
            <w:pPr>
              <w:pStyle w:val="BodyText"/>
              <w:snapToGrid w:val="false"/>
              <w:ind w:start="72" w:end="0"/>
              <w:rPr>
                <w:b/>
                <w:sz w:val="20"/>
              </w:rPr>
            </w:pPr>
            <w:r>
              <w:rPr>
                <w:b/>
                <w:sz w:val="20"/>
              </w:rPr>
            </w:r>
          </w:p>
        </w:tc>
      </w:tr>
    </w:tbl>
    <w:p>
      <w:pPr>
        <w:pStyle w:val="BodyText"/>
        <w:rPr>
          <w:b/>
          <w:sz w:val="20"/>
        </w:rPr>
      </w:pPr>
      <w:r>
        <w:rPr>
          <w:b/>
          <w:sz w:val="20"/>
        </w:rPr>
      </w:r>
    </w:p>
    <w:p>
      <w:pPr>
        <w:pStyle w:val="BodyText"/>
        <w:rPr>
          <w:b/>
        </w:rPr>
      </w:pPr>
      <w:r>
        <w:rPr>
          <w:b/>
        </w:rPr>
        <w:tab/>
        <w:tab/>
      </w:r>
    </w:p>
    <w:p>
      <w:pPr>
        <w:pStyle w:val="BodyText"/>
        <w:rPr>
          <w:b/>
        </w:rPr>
      </w:pPr>
      <w:r>
        <w:rPr>
          <w:b/>
        </w:rPr>
      </w:r>
    </w:p>
    <w:p>
      <w:pPr>
        <w:pStyle w:val="BodyText"/>
        <w:rPr>
          <w:b/>
        </w:rPr>
      </w:pPr>
      <w:r>
        <w:rPr>
          <w:b/>
        </w:rPr>
      </w:r>
    </w:p>
    <w:p>
      <w:pPr>
        <w:pStyle w:val="Heading1"/>
        <w:ind w:hanging="0" w:start="0"/>
        <w:rPr/>
      </w:pPr>
      <w:r>
        <w:rPr/>
        <w:tab/>
        <w:tab/>
        <w:t>End Of Attachment</w:t>
      </w:r>
    </w:p>
    <w:p>
      <w:pPr>
        <w:pStyle w:val="BodyText"/>
        <w:rPr/>
      </w:pPr>
      <w:r>
        <w:rPr/>
      </w:r>
    </w:p>
    <w:p>
      <w:pPr>
        <w:pStyle w:val="Normal"/>
        <w:jc w:val="center"/>
        <w:rPr/>
      </w:pPr>
      <w:r>
        <w:rPr/>
      </w:r>
    </w:p>
    <w:sectPr>
      <w:headerReference w:type="default" r:id="rId7"/>
      <w:headerReference w:type="first" r:id="rId8"/>
      <w:footerReference w:type="default" r:id="rId9"/>
      <w:footerReference w:type="first" r:id="rId10"/>
      <w:type w:val="nextPage"/>
      <w:pgSz w:w="12240" w:h="15840"/>
      <w:pgMar w:left="1152" w:right="864" w:gutter="0" w:header="720" w:top="864" w:footer="72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/mnt/main-storage/datasets/enron-docs/doc/ENACHASEnymex2-00378d69d9ede962ee0d4071801af41c13b81e74d5297d7c83ae37710f5e2271.doc</w:t>
    </w:r>
    <w:r>
      <w:rPr>
        <w:sz w:val="16"/>
      </w:rPr>
      <w:fldChar w:fldCharType="end"/>
    </w:r>
    <w:r>
      <w:rPr>
        <w:sz w:val="16"/>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/mnt/main-storage/datasets/enron-docs/doc/ENACHASEnymex2-00378d69d9ede962ee0d4071801af41c13b81e74d5297d7c83ae37710f5e2271.doc</w:t>
    </w:r>
    <w:r>
      <w:rPr>
        <w:sz w:val="16"/>
      </w:rPr>
      <w:fldChar w:fldCharType="end"/>
    </w:r>
    <w:r>
      <w:rPr>
        <w:sz w:val="16"/>
      </w:rPr>
      <w:tab/>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fldChar w:fldCharType="begin"/>
    </w:r>
    <w:r>
      <w:rPr>
        <w:sz w:val="16"/>
      </w:rPr>
      <w:instrText xml:space="preserve"> FILENAME \p </w:instrText>
    </w:r>
    <w:r>
      <w:rPr>
        <w:sz w:val="16"/>
      </w:rPr>
      <w:fldChar w:fldCharType="separate"/>
    </w:r>
    <w:r>
      <w:rPr>
        <w:sz w:val="16"/>
      </w:rPr>
      <w:t>/mnt/main-storage/datasets/enron-docs/doc/ENACHASEnymex2-00378d69d9ede962ee0d4071801af41c13b81e74d5297d7c83ae37710f5e2271.doc</w:t>
    </w:r>
    <w:r>
      <w:rPr>
        <w:sz w:val="16"/>
      </w:rPr>
      <w:fldChar w:fldCharType="end"/>
    </w:r>
    <w:r>
      <w:rPr>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sz w:val="22"/>
      </w:rPr>
      <w:t>Deal No. [         ]</w:t>
    </w:r>
  </w:p>
  <w:p>
    <w:pPr>
      <w:pStyle w:val="Header"/>
      <w:rPr>
        <w:sz w:val="22"/>
      </w:rPr>
    </w:pPr>
    <w:r>
      <w:rPr>
        <w:sz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42"/>
        </w:tabs>
        <w:ind w:start="342"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342" w:leader="none"/>
      </w:tabs>
      <w:jc w:val="both"/>
    </w:pPr>
    <w:rPr>
      <w:sz w:val="22"/>
    </w:rPr>
  </w:style>
  <w:style w:type="paragraph" w:styleId="BodyTextIndent">
    <w:name w:val="Body Text Indent"/>
    <w:basedOn w:val="Normal"/>
    <w:pPr>
      <w:tabs>
        <w:tab w:val="clear" w:pos="720"/>
        <w:tab w:val="left" w:pos="342" w:leader="none"/>
      </w:tabs>
      <w:ind w:hanging="360" w:start="342" w:end="0"/>
      <w:jc w:val="both"/>
    </w:pPr>
    <w:rPr>
      <w:sz w:val="22"/>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2000-09-27T17:49:00Z</dcterms:created>
  <dc:creator>ECT</dc:creator>
  <dc:description/>
  <dc:language>en-CA</dc:language>
  <cp:lastModifiedBy>kellis</cp:lastModifiedBy>
  <cp:lastPrinted>2000-09-29T13:44:00Z</cp:lastPrinted>
  <dcterms:modified xsi:type="dcterms:W3CDTF">2000-09-29T16:15:00Z</dcterms:modified>
  <cp:revision>19</cp:revision>
  <dc:subject>Williams Energy Marketing &amp; Trading Company</dc:subject>
  <dc:title>NZ2978.1</dc:title>
</cp:coreProperties>
</file>