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3680" w:leader="none"/>
        </w:tabs>
        <w:jc w:val="end"/>
        <w:rPr>
          <w:sz w:val="20"/>
        </w:rPr>
      </w:pPr>
      <w:r>
        <w:rPr>
          <w:sz w:val="20"/>
        </w:rPr>
        <w:tab/>
      </w:r>
      <w:r>
        <w:rPr>
          <w:b/>
          <w:sz w:val="20"/>
        </w:rPr>
        <w:t>DRAFT: January 8, 2001</w:t>
      </w:r>
    </w:p>
    <w:p>
      <w:pPr>
        <w:pStyle w:val="Normal"/>
        <w:rPr>
          <w:sz w:val="20"/>
        </w:rPr>
      </w:pPr>
      <w:r>
        <w:rPr>
          <w:sz w:val="20"/>
        </w:rPr>
      </w:r>
    </w:p>
    <w:tbl>
      <w:tblPr>
        <w:tblW w:w="13680" w:type="dxa"/>
        <w:jc w:val="start"/>
        <w:tblInd w:w="120" w:type="dxa"/>
        <w:tblLayout w:type="fixed"/>
        <w:tblCellMar>
          <w:top w:w="0" w:type="dxa"/>
          <w:start w:w="120" w:type="dxa"/>
          <w:bottom w:w="0" w:type="dxa"/>
          <w:end w:w="120" w:type="dxa"/>
        </w:tblCellMar>
      </w:tblPr>
      <w:tblGrid>
        <w:gridCol w:w="8908"/>
        <w:gridCol w:w="1972"/>
        <w:gridCol w:w="2800"/>
      </w:tblGrid>
      <w:tr>
        <w:trPr/>
        <w:tc>
          <w:tcPr>
            <w:tcW w:w="13680" w:type="dxa"/>
            <w:gridSpan w:val="3"/>
            <w:tcBorders/>
          </w:tcPr>
          <w:p>
            <w:pPr>
              <w:pStyle w:val="Normal"/>
              <w:snapToGrid w:val="false"/>
              <w:spacing w:lineRule="exact" w:line="120"/>
              <w:rPr>
                <w:sz w:val="20"/>
              </w:rPr>
            </w:pPr>
            <w:r>
              <w:rPr>
                <w:sz w:val="20"/>
              </w:rPr>
            </w:r>
          </w:p>
          <w:p>
            <w:pPr>
              <w:pStyle w:val="Normal"/>
              <w:tabs>
                <w:tab w:val="clear" w:pos="720"/>
                <w:tab w:val="center" w:pos="4334" w:leader="none"/>
              </w:tabs>
              <w:spacing w:before="0" w:after="58"/>
              <w:jc w:val="center"/>
              <w:rPr>
                <w:sz w:val="20"/>
              </w:rPr>
            </w:pPr>
            <w:r>
              <w:rPr>
                <w:b/>
                <w:sz w:val="20"/>
                <w:u w:val="single"/>
              </w:rPr>
              <w:t>ENA/ALAMAC CLOSING CHECKLIST</w:t>
            </w:r>
          </w:p>
        </w:tc>
        <w:tc>
          <w:tcPr>
            <w:tcW w:w="0" w:type="dxa"/>
            <w:vMerge w:val="continue"/>
            <w:tcBorders/>
          </w:tcPr>
          <w:p>
            <w:pPr>
              <w:pStyle w:val="Normal"/>
              <w:tabs>
                <w:tab w:val="clear" w:pos="720"/>
                <w:tab w:val="center" w:pos="4334" w:leader="none"/>
              </w:tabs>
              <w:snapToGrid w:val="false"/>
              <w:spacing w:before="0" w:after="58"/>
              <w:rPr>
                <w:sz w:val="20"/>
              </w:rPr>
            </w:pPr>
            <w:r>
              <w:rPr>
                <w:sz w:val="20"/>
              </w:rPr>
            </w:r>
          </w:p>
        </w:tc>
        <w:tc>
          <w:tcPr>
            <w:tcW w:w="0" w:type="dxa"/>
            <w:vMerge w:val="continue"/>
            <w:tcBorders/>
          </w:tcPr>
          <w:p>
            <w:pPr>
              <w:pStyle w:val="Normal"/>
              <w:tabs>
                <w:tab w:val="clear" w:pos="720"/>
                <w:tab w:val="center" w:pos="4334" w:leader="none"/>
              </w:tabs>
              <w:snapToGrid w:val="false"/>
              <w:spacing w:before="0" w:after="58"/>
              <w:rPr>
                <w:sz w:val="20"/>
              </w:rPr>
            </w:pPr>
            <w:r>
              <w:rPr>
                <w:sz w:val="20"/>
              </w:rPr>
            </w:r>
          </w:p>
        </w:tc>
      </w:tr>
      <w:tr>
        <w:trPr/>
        <w:tc>
          <w:tcPr>
            <w:tcW w:w="8908" w:type="dxa"/>
            <w:tcBorders>
              <w:bottom w:val="single" w:sz="4" w:space="0" w:color="000000"/>
            </w:tcBorders>
          </w:tcPr>
          <w:p>
            <w:pPr>
              <w:pStyle w:val="Normal"/>
              <w:snapToGrid w:val="false"/>
              <w:spacing w:lineRule="exact" w:line="120"/>
              <w:rPr>
                <w:sz w:val="20"/>
              </w:rPr>
            </w:pPr>
            <w:r>
              <w:rPr>
                <w:sz w:val="20"/>
              </w:rPr>
            </w:r>
          </w:p>
          <w:p>
            <w:pPr>
              <w:pStyle w:val="Normal"/>
              <w:tabs>
                <w:tab w:val="clear" w:pos="720"/>
                <w:tab w:val="left" w:pos="1860" w:leader="none"/>
                <w:tab w:val="left" w:pos="2130" w:leader="none"/>
                <w:tab w:val="left" w:pos="2400" w:leader="none"/>
              </w:tabs>
              <w:ind w:hanging="2220" w:start="1860" w:end="0"/>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ind w:hanging="1860" w:start="1860" w:end="0"/>
              <w:rPr>
                <w:sz w:val="20"/>
              </w:rPr>
            </w:pPr>
            <w:r>
              <w:rPr>
                <w:sz w:val="20"/>
              </w:rPr>
              <w:t>ENA</w:t>
              <w:tab/>
              <w:t>=   ENA NC Power Holdings, LLC</w:t>
            </w:r>
          </w:p>
          <w:p>
            <w:pPr>
              <w:pStyle w:val="Normal"/>
              <w:tabs>
                <w:tab w:val="clear" w:pos="720"/>
                <w:tab w:val="left" w:pos="1860" w:leader="none"/>
                <w:tab w:val="left" w:pos="2130" w:leader="none"/>
                <w:tab w:val="left" w:pos="2400" w:leader="none"/>
              </w:tabs>
              <w:rPr>
                <w:sz w:val="20"/>
              </w:rPr>
            </w:pPr>
            <w:r>
              <w:rPr>
                <w:sz w:val="20"/>
              </w:rPr>
              <w:t>B&amp;P</w:t>
              <w:tab/>
              <w:t>=</w:t>
              <w:tab/>
              <w:t>Bracewell &amp; Patterson, L.L.P., counsel to ENA</w:t>
            </w:r>
          </w:p>
          <w:p>
            <w:pPr>
              <w:pStyle w:val="Normal"/>
              <w:tabs>
                <w:tab w:val="clear" w:pos="720"/>
                <w:tab w:val="left" w:pos="1860" w:leader="none"/>
                <w:tab w:val="left" w:pos="2130" w:leader="none"/>
                <w:tab w:val="left" w:pos="2400" w:leader="none"/>
              </w:tabs>
              <w:rPr>
                <w:sz w:val="20"/>
              </w:rPr>
            </w:pPr>
            <w:r>
              <w:rPr>
                <w:sz w:val="20"/>
              </w:rPr>
              <w:t>Bass</w:t>
              <w:tab/>
              <w:t>=   Bass, Berry &amp; Sims, counsel to Alamac</w:t>
            </w:r>
          </w:p>
          <w:p>
            <w:pPr>
              <w:pStyle w:val="Normal"/>
              <w:tabs>
                <w:tab w:val="clear" w:pos="720"/>
                <w:tab w:val="left" w:pos="1860" w:leader="none"/>
                <w:tab w:val="left" w:pos="2130" w:leader="none"/>
                <w:tab w:val="left" w:pos="2400" w:leader="none"/>
              </w:tabs>
              <w:ind w:hanging="2130" w:start="2130" w:end="0"/>
              <w:rPr>
                <w:sz w:val="20"/>
              </w:rPr>
            </w:pPr>
            <w:r>
              <w:rPr>
                <w:sz w:val="20"/>
              </w:rPr>
              <w:t xml:space="preserve">Alamac </w:t>
              <w:tab/>
              <w:t>=</w:t>
              <w:tab/>
              <w:t>Alamac Knit Fabrics, Inc.</w:t>
            </w:r>
          </w:p>
          <w:p>
            <w:pPr>
              <w:pStyle w:val="Normal"/>
              <w:tabs>
                <w:tab w:val="clear" w:pos="720"/>
                <w:tab w:val="left" w:pos="1860" w:leader="none"/>
                <w:tab w:val="left" w:pos="2130" w:leader="none"/>
                <w:tab w:val="left" w:pos="2400" w:leader="none"/>
              </w:tabs>
              <w:rPr>
                <w:sz w:val="20"/>
              </w:rPr>
            </w:pPr>
            <w:r>
              <w:rPr>
                <w:sz w:val="20"/>
              </w:rPr>
              <w:t>Seller Companies         =   Elizabethtown Power, LLC and Lumberton Power, LLC</w:t>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spacing w:before="0" w:after="58"/>
              <w:rPr>
                <w:sz w:val="20"/>
              </w:rPr>
            </w:pPr>
            <w:r>
              <w:rPr>
                <w:sz w:val="20"/>
              </w:rPr>
            </w:r>
          </w:p>
        </w:tc>
        <w:tc>
          <w:tcPr>
            <w:tcW w:w="4772" w:type="dxa"/>
            <w:gridSpan w:val="2"/>
            <w:tcBorders>
              <w:bottom w:val="single" w:sz="6" w:space="0" w:color="000000"/>
            </w:tcBorders>
          </w:tcPr>
          <w:p>
            <w:pPr>
              <w:pStyle w:val="Normal"/>
              <w:snapToGrid w:val="false"/>
              <w:spacing w:lineRule="exact" w:line="120"/>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left" w:pos="1860" w:leader="none"/>
                <w:tab w:val="left" w:pos="2130" w:leader="none"/>
                <w:tab w:val="left" w:pos="2400" w:leader="none"/>
              </w:tabs>
              <w:rPr>
                <w:sz w:val="20"/>
              </w:rPr>
            </w:pPr>
            <w:r>
              <w:rPr>
                <w:sz w:val="20"/>
              </w:rPr>
            </w:r>
          </w:p>
          <w:p>
            <w:pPr>
              <w:pStyle w:val="Normal"/>
              <w:tabs>
                <w:tab w:val="clear" w:pos="720"/>
                <w:tab w:val="center" w:pos="866" w:leader="none"/>
                <w:tab w:val="left" w:pos="1860" w:leader="none"/>
                <w:tab w:val="left" w:pos="2130" w:leader="none"/>
                <w:tab w:val="left" w:pos="2400" w:leader="none"/>
              </w:tabs>
              <w:spacing w:before="0" w:after="58"/>
              <w:rPr>
                <w:sz w:val="20"/>
              </w:rPr>
            </w:pPr>
            <w:r>
              <w:rPr>
                <w:sz w:val="20"/>
              </w:rPr>
              <w:tab/>
            </w:r>
          </w:p>
        </w:tc>
        <w:tc>
          <w:tcPr>
            <w:tcW w:w="0" w:type="dxa"/>
            <w:vMerge w:val="continue"/>
            <w:tcBorders>
              <w:bottom w:val="single" w:sz="6" w:space="0" w:color="000000"/>
            </w:tcBorders>
          </w:tcPr>
          <w:p>
            <w:pPr>
              <w:pStyle w:val="Normal"/>
              <w:tabs>
                <w:tab w:val="clear" w:pos="720"/>
                <w:tab w:val="center" w:pos="866" w:leader="none"/>
                <w:tab w:val="left" w:pos="1860" w:leader="none"/>
                <w:tab w:val="left" w:pos="2130" w:leader="none"/>
                <w:tab w:val="left" w:pos="2400" w:leader="none"/>
              </w:tabs>
              <w:snapToGrid w:val="false"/>
              <w:spacing w:before="0" w:after="58"/>
              <w:rPr>
                <w:sz w:val="20"/>
              </w:rPr>
            </w:pPr>
            <w:r>
              <w:rPr>
                <w:sz w:val="20"/>
              </w:rPr>
            </w:r>
          </w:p>
        </w:tc>
      </w:tr>
      <w:tr>
        <w:trPr/>
        <w:tc>
          <w:tcPr>
            <w:tcW w:w="8908" w:type="dxa"/>
            <w:tcBorders>
              <w:top w:val="single" w:sz="4"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pPr>
            <w:r>
              <w:rPr>
                <w:b/>
                <w:sz w:val="20"/>
              </w:rPr>
              <w:fldChar w:fldCharType="begin"/>
            </w:r>
            <w:r>
              <w:rPr>
                <w:sz w:val="20"/>
                <w:b/>
              </w:rPr>
              <w:instrText xml:space="preserve"> SEQ ParaNumbers2_0 \* ROMAN </w:instrText>
            </w:r>
            <w:r>
              <w:rPr>
                <w:sz w:val="20"/>
                <w:b/>
              </w:rPr>
              <w:fldChar w:fldCharType="separate"/>
            </w:r>
            <w:r>
              <w:rPr>
                <w:sz w:val="20"/>
                <w:b/>
              </w:rPr>
              <w:t>I</w:t>
            </w:r>
            <w:r>
              <w:rPr>
                <w:sz w:val="20"/>
                <w:b/>
              </w:rPr>
              <w:fldChar w:fldCharType="end"/>
            </w:r>
            <w:r>
              <w:rPr>
                <w:b/>
                <w:sz w:val="20"/>
              </w:rPr>
              <w:t>.   DOCUMENTS REGARDING THE ELIZABETHTOWN FACILITY</w:t>
            </w:r>
          </w:p>
        </w:tc>
        <w:tc>
          <w:tcPr>
            <w:tcW w:w="197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b/>
                <w:sz w:val="20"/>
              </w:rPr>
            </w:pPr>
            <w:r>
              <w:rPr>
                <w:b/>
                <w:sz w:val="20"/>
              </w:rPr>
              <w:t>RESPONSIBLE PARTY</w:t>
            </w:r>
          </w:p>
        </w:tc>
        <w:tc>
          <w:tcPr>
            <w:tcW w:w="28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b/>
                <w:sz w:val="20"/>
              </w:rPr>
            </w:pPr>
            <w:r>
              <w:rPr>
                <w:b/>
                <w:sz w:val="20"/>
              </w:rPr>
              <w:t>STATUS</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numPr>
                <w:ilvl w:val="0"/>
                <w:numId w:val="6"/>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 xml:space="preserve">Ground Lease and Easement Agreement </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start"/>
              <w:rPr>
                <w:sz w:val="20"/>
              </w:rPr>
            </w:pPr>
            <w:r>
              <w:rPr>
                <w:sz w:val="20"/>
              </w:rPr>
              <w:t>Drafted</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a.  Exhibit C-1 - Designated Areas for Easements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Verify status.</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b. Exhibit D - Environmental Disclosure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Alamac/ENA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c.  Exhibit F - Reasonable Steam Specifications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d.  Exhibit G- Raw Water Delivery Point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Alamac</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6"/>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Steam Purchase Agreement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start"/>
              <w:rPr>
                <w:sz w:val="20"/>
              </w:rPr>
            </w:pPr>
            <w:r>
              <w:rPr>
                <w:sz w:val="20"/>
              </w:rPr>
              <w:t>Drafted</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 xml:space="preserve">a.  Annex 1, Steam Specifications </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ENA/Alamac</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Resolve open issues</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 xml:space="preserve">b.  Annex 3, Coordination Procedures </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Verify status.</w:t>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Note: If not prepared by Effective Date, must be prepared as soon as practicable thereafter.</w:t>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c.  Annex 4, Renewal Term Pricing</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firstLine="960" w:start="360" w:end="0"/>
              <w:rPr>
                <w:sz w:val="20"/>
              </w:rPr>
            </w:pPr>
            <w:r>
              <w:rPr>
                <w:sz w:val="20"/>
              </w:rPr>
              <w:t>Interconnection Agreement with CPL</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firstLine="960" w:start="360" w:end="0"/>
              <w:rPr>
                <w:sz w:val="20"/>
              </w:rPr>
            </w:pPr>
            <w:r>
              <w:rPr>
                <w:sz w:val="20"/>
              </w:rPr>
              <w:t>[FERC Approval Rate Schedule]</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40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1080" w:start="2400" w:end="0"/>
              <w:rPr>
                <w:sz w:val="20"/>
              </w:rPr>
            </w:pPr>
            <w:r>
              <w:rPr>
                <w:sz w:val="20"/>
              </w:rPr>
              <w:t>[Certificate re EWG]</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40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1080" w:start="2400" w:end="0"/>
              <w:rPr>
                <w:sz w:val="20"/>
              </w:rPr>
            </w:pPr>
            <w:r>
              <w:rPr>
                <w:sz w:val="20"/>
              </w:rPr>
              <w:t>Non-disturbance Agreement with Lenders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40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1080" w:start="2400" w:end="0"/>
              <w:rPr>
                <w:sz w:val="20"/>
              </w:rPr>
            </w:pPr>
            <w:r>
              <w:rPr>
                <w:sz w:val="20"/>
              </w:rPr>
              <w:t>Leasehold Title Insurance?</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40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1080" w:start="2400" w:end="0"/>
              <w:rPr>
                <w:sz w:val="20"/>
              </w:rPr>
            </w:pPr>
            <w:r>
              <w:rPr>
                <w:sz w:val="20"/>
              </w:rPr>
              <w:t>Evidence of Leasehold Insurance Policies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40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1080" w:start="2400" w:end="0"/>
              <w:rPr>
                <w:sz w:val="20"/>
              </w:rPr>
            </w:pPr>
            <w:r>
              <w:rPr>
                <w:sz w:val="20"/>
              </w:rPr>
              <w:t>Memorandum of Lease</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 w:val="left" w:pos="-840" w:leader="none"/>
                <w:tab w:val="left" w:pos="-120" w:leader="none"/>
                <w:tab w:val="left" w:pos="600" w:leader="none"/>
                <w:tab w:val="left" w:pos="1320" w:leader="none"/>
                <w:tab w:val="left" w:pos="2040" w:leader="none"/>
                <w:tab w:val="left" w:pos="240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1080" w:start="2400" w:end="0"/>
              <w:rPr>
                <w:sz w:val="20"/>
              </w:rPr>
            </w:pPr>
            <w:r>
              <w:rPr>
                <w:sz w:val="20"/>
              </w:rPr>
              <w:t>[Other Agreements/Permits?]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c>
          <w:tcPr>
            <w:tcW w:w="8908" w:type="dxa"/>
            <w:tcBorders>
              <w:start w:val="single" w:sz="6" w:space="0" w:color="000000"/>
              <w:bottom w:val="single" w:sz="6" w:space="0" w:color="000000"/>
              <w:end w:val="single" w:sz="6" w:space="0" w:color="000000"/>
            </w:tcBorders>
            <w:shd w:fill="CCCCCC" w:val="clear"/>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pPr>
            <w:r>
              <w:rPr>
                <w:b/>
                <w:sz w:val="20"/>
              </w:rPr>
              <w:fldChar w:fldCharType="begin"/>
            </w:r>
            <w:r>
              <w:rPr>
                <w:sz w:val="20"/>
                <w:b/>
              </w:rPr>
              <w:instrText xml:space="preserve"> SEQ ParaNumbers2_0 \* ROMAN </w:instrText>
            </w:r>
            <w:r>
              <w:rPr>
                <w:sz w:val="20"/>
                <w:b/>
              </w:rPr>
              <w:fldChar w:fldCharType="separate"/>
            </w:r>
            <w:r>
              <w:rPr>
                <w:sz w:val="20"/>
                <w:b/>
              </w:rPr>
              <w:t>I</w:t>
            </w:r>
            <w:r>
              <w:rPr>
                <w:sz w:val="20"/>
                <w:b/>
              </w:rPr>
              <w:fldChar w:fldCharType="end"/>
            </w:r>
            <w:r>
              <w:rPr>
                <w:b/>
                <w:sz w:val="20"/>
              </w:rPr>
              <w:t>I.  DOCUMENTS REGARDING THE LUMBERTON FACILITY</w:t>
            </w:r>
          </w:p>
        </w:tc>
        <w:tc>
          <w:tcPr>
            <w:tcW w:w="197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b/>
                <w:sz w:val="20"/>
              </w:rPr>
            </w:pPr>
            <w:r>
              <w:rPr>
                <w:b/>
                <w:sz w:val="20"/>
              </w:rPr>
              <w:t>RESPONSIBLE PARTY</w:t>
            </w:r>
          </w:p>
        </w:tc>
        <w:tc>
          <w:tcPr>
            <w:tcW w:w="28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b/>
                <w:sz w:val="20"/>
              </w:rPr>
            </w:pPr>
            <w:r>
              <w:rPr>
                <w:b/>
                <w:sz w:val="20"/>
              </w:rPr>
              <w:t>STATUS</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firstLine="960" w:start="360" w:end="0"/>
              <w:rPr>
                <w:sz w:val="20"/>
              </w:rPr>
            </w:pPr>
            <w:r>
              <w:rPr>
                <w:sz w:val="20"/>
              </w:rPr>
              <w:t>Ground Lease and Easement Agreement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ind w:firstLine="60" w:start="1320" w:end="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a.  Exhibit C-1 - Designated Areas for Easements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b. Exhibit D - Environmental Disclosure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Alamac/ENA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c.  Exhibit F - Reasonable Steam Specifications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d.  Exhibit G- Raw Water Delivery Point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Alamac</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Lumberton Steam Purchase Agreement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a.  Annex 1, Steam Specifications - resolve open issues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ENA/Alamac</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b.  Annex 3, Coordination Procedures - verify status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Note: If not prepared by Effective Date, must be prepared as soon as practicable thereafter.</w:t>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t>c.  Annex 4, Renewal Term Pricing</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Interconnection Agreement with CPL</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[FERC Approval Rate Schedule]</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[Certificate re EWG]</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Non-disturbance Agreement with Lenders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Leasehold Title Insurance?</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Evidence of Leasehold Insurance Policies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Memorandum of Lease</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rHeight w:val="524" w:hRule="exact"/>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[Other Agreements/Permits?]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jc w:val="center"/>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c>
          <w:tcPr>
            <w:tcW w:w="8908" w:type="dxa"/>
            <w:tcBorders>
              <w:start w:val="single" w:sz="6" w:space="0" w:color="000000"/>
              <w:bottom w:val="single" w:sz="6" w:space="0" w:color="000000"/>
              <w:end w:val="single" w:sz="6" w:space="0" w:color="000000"/>
            </w:tcBorders>
            <w:shd w:fill="CCCCCC" w:val="clear"/>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pPr>
            <w:r>
              <w:rPr>
                <w:b/>
                <w:sz w:val="20"/>
              </w:rPr>
              <w:fldChar w:fldCharType="begin"/>
            </w:r>
            <w:r>
              <w:rPr>
                <w:sz w:val="20"/>
                <w:b/>
              </w:rPr>
              <w:instrText xml:space="preserve"> SEQ ParaNumbers2_0 \* ROMAN </w:instrText>
            </w:r>
            <w:r>
              <w:rPr>
                <w:sz w:val="20"/>
                <w:b/>
              </w:rPr>
              <w:fldChar w:fldCharType="separate"/>
            </w:r>
            <w:r>
              <w:rPr>
                <w:sz w:val="20"/>
                <w:b/>
              </w:rPr>
              <w:t>I</w:t>
            </w:r>
            <w:r>
              <w:rPr>
                <w:sz w:val="20"/>
                <w:b/>
              </w:rPr>
              <w:fldChar w:fldCharType="end"/>
            </w:r>
            <w:r>
              <w:rPr>
                <w:b/>
                <w:sz w:val="20"/>
              </w:rPr>
              <w:t>II.  SECURITIES PURCHASE AGREEMENT</w:t>
            </w:r>
          </w:p>
        </w:tc>
        <w:tc>
          <w:tcPr>
            <w:tcW w:w="197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b/>
                <w:sz w:val="20"/>
              </w:rPr>
            </w:pPr>
            <w:r>
              <w:rPr>
                <w:b/>
                <w:sz w:val="20"/>
              </w:rPr>
              <w:t>RESPONSIBLE PARTY</w:t>
            </w:r>
          </w:p>
        </w:tc>
        <w:tc>
          <w:tcPr>
            <w:tcW w:w="28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jc w:val="center"/>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b/>
                <w:sz w:val="20"/>
              </w:rPr>
            </w:pPr>
            <w:r>
              <w:rPr>
                <w:b/>
                <w:sz w:val="20"/>
              </w:rPr>
              <w:t>STATUS</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720" w:start="1320" w:end="0"/>
              <w:rPr/>
            </w:pPr>
            <w:r>
              <w:rPr>
                <w:sz w:val="20"/>
              </w:rPr>
              <w:fldChar w:fldCharType="begin"/>
            </w:r>
            <w:r>
              <w:rPr>
                <w:sz w:val="20"/>
              </w:rPr>
              <w:instrText xml:space="preserve"> SEQ ParaNumbers2_1 \* ALPHABETIC </w:instrText>
            </w:r>
            <w:r>
              <w:rPr>
                <w:sz w:val="20"/>
              </w:rPr>
              <w:fldChar w:fldCharType="separate"/>
            </w:r>
            <w:r>
              <w:rPr>
                <w:sz w:val="20"/>
              </w:rPr>
              <w:t>A</w:t>
            </w:r>
            <w:r>
              <w:rPr>
                <w:sz w:val="20"/>
              </w:rPr>
              <w:fldChar w:fldCharType="end"/>
            </w:r>
            <w:r>
              <w:rPr>
                <w:sz w:val="20"/>
              </w:rPr>
              <w:t>.</w:t>
              <w:tab/>
              <w:t>Securities Purchase Agreement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Drafted</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3"/>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Schedules prepared by Bass</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napToGrid w:val="false"/>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3"/>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Schedules prepared by B&amp;P</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3"/>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Required Buyer Governmental Consents and Non-Governmental Consents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Note: Must attach to Buyer Disclosure Schedule of Securities Purchase Agreement</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600" w:end="0"/>
              <w:rPr>
                <w:sz w:val="20"/>
              </w:rPr>
            </w:pPr>
            <w:r>
              <w:rPr>
                <w:sz w:val="20"/>
              </w:rPr>
              <w:fldChar w:fldCharType="begin"/>
            </w:r>
            <w:r>
              <w:rPr>
                <w:sz w:val="20"/>
              </w:rPr>
              <w:instrText xml:space="preserve"> SEQ ParaNumbers2_1 \* ALPHABETIC </w:instrText>
            </w:r>
            <w:r>
              <w:rPr>
                <w:sz w:val="20"/>
              </w:rPr>
              <w:fldChar w:fldCharType="separate"/>
            </w:r>
            <w:r>
              <w:rPr>
                <w:sz w:val="20"/>
              </w:rPr>
              <w:t>B</w:t>
            </w:r>
            <w:r>
              <w:rPr>
                <w:sz w:val="20"/>
              </w:rPr>
              <w:fldChar w:fldCharType="end"/>
            </w:r>
            <w:r>
              <w:rPr>
                <w:sz w:val="20"/>
              </w:rPr>
              <w:t>.</w:t>
              <w:tab/>
            </w:r>
            <w:r>
              <w:rPr>
                <w:i/>
                <w:sz w:val="20"/>
              </w:rPr>
              <w:t>Closing Deliveries</w:t>
            </w:r>
            <w:r>
              <w:rPr>
                <w:sz w:val="20"/>
              </w:rPr>
              <w:t xml:space="preserve"> </w:t>
            </w:r>
            <w:r>
              <w:rPr>
                <w:i/>
                <w:sz w:val="20"/>
              </w:rPr>
              <w:t>per Securities Purchase Agreement</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Seller Certificate; Articles of Organization and Operating Agreement of the Seller Companies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firstLine="960" w:start="360" w:end="0"/>
              <w:rPr>
                <w:sz w:val="20"/>
              </w:rPr>
            </w:pPr>
            <w:r>
              <w:rPr>
                <w:sz w:val="20"/>
              </w:rPr>
              <w:t>Secretary Certificate of Alamac re Board Resolutions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firstLine="960" w:start="360" w:end="0"/>
              <w:rPr>
                <w:sz w:val="20"/>
              </w:rPr>
            </w:pPr>
            <w:r>
              <w:rPr>
                <w:sz w:val="20"/>
              </w:rPr>
              <w:t>Certificates of Existence Regarding each of the Seller Companies and Alamac</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Assignment transferring Elizabethtown Interests to ENA</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rHeight w:val="420" w:hRule="exact"/>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Assignment transferring Lumberton Interests to ENA</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rHeight w:val="420" w:hRule="exact"/>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Seller certificates re Representations and Performance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Resignation of all members and managers of Seller Companies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Drafted</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Legal Opinion of Bass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Seller Release of Continuing Rights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Approval of the United States Bankruptcy Court for the District of Delaware.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Seller Certificate re Bankruptcy Approval</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firstLine="960" w:start="360" w:end="0"/>
              <w:rPr>
                <w:sz w:val="20"/>
              </w:rPr>
            </w:pPr>
            <w:r>
              <w:rPr>
                <w:sz w:val="20"/>
              </w:rPr>
              <w:t xml:space="preserve"> </w:t>
            </w:r>
            <w:r>
              <w:rPr>
                <w:sz w:val="20"/>
              </w:rPr>
              <w:t>Consents of:</w:t>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ind w:firstLine="1320" w:end="0"/>
              <w:rPr>
                <w:sz w:val="20"/>
              </w:rPr>
            </w:pPr>
            <w:r>
              <w:rPr>
                <w:sz w:val="20"/>
              </w:rPr>
            </w:r>
          </w:p>
          <w:p>
            <w:pPr>
              <w:pStyle w:val="Normal"/>
              <w:tabs>
                <w:tab w:val="clear" w:pos="720"/>
                <w:tab w:val="left" w:pos="-840" w:leader="none"/>
                <w:tab w:val="left" w:pos="-120" w:leader="none"/>
                <w:tab w:val="left" w:pos="600" w:leader="none"/>
                <w:tab w:val="left" w:pos="1320" w:leader="none"/>
                <w:tab w:val="left" w:pos="231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ind w:hanging="270" w:start="2310" w:end="0"/>
              <w:rPr/>
            </w:pPr>
            <w:r>
              <w:rPr>
                <w:sz w:val="20"/>
              </w:rPr>
              <w:t>a.  the holders of Dyersburg Corporation's 9</w:t>
            </w:r>
            <w:r>
              <w:rPr>
                <w:rFonts w:cs="WP TypographicSymbols" w:ascii="WP TypographicSymbols" w:hAnsi="WP TypographicSymbols"/>
                <w:sz w:val="20"/>
              </w:rPr>
              <w:t>:</w:t>
            </w:r>
            <w:r>
              <w:rPr>
                <w:sz w:val="20"/>
              </w:rPr>
              <w:t>% Senior Subordinated Notes due 2007 who are parties to that certain Restructuring Agreement dated as of August 30, 2000, among Dyersburg Corporation, certain subsidiaries of Dyersburg Corporation, including the Seller, and such holders</w:t>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rPr>
                <w:sz w:val="20"/>
              </w:rPr>
            </w:pPr>
            <w:r>
              <w:rPr>
                <w:sz w:val="20"/>
              </w:rPr>
            </w:r>
          </w:p>
          <w:p>
            <w:pPr>
              <w:pStyle w:val="Normal"/>
              <w:tabs>
                <w:tab w:val="clear" w:pos="720"/>
                <w:tab w:val="left" w:pos="-840" w:leader="none"/>
                <w:tab w:val="left" w:pos="-120" w:leader="none"/>
                <w:tab w:val="left" w:pos="600" w:leader="none"/>
                <w:tab w:val="left" w:pos="1320" w:leader="none"/>
                <w:tab w:val="left" w:pos="231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ind w:hanging="270" w:start="2310" w:end="0"/>
              <w:rPr>
                <w:sz w:val="20"/>
              </w:rPr>
            </w:pPr>
            <w:r>
              <w:rPr>
                <w:sz w:val="20"/>
              </w:rPr>
              <w:t>b.  the "Required Lenders," the "Collateral Agent" and the "Administrative Agent" under that certain Post</w:t>
              <w:noBreakHyphen/>
              <w:t>Petition Loan and Securitiy Agreement dated September 25, 2000, among Dyersburg Corporation, certain of its subsidiaries, including the Seller, Congress Financial Corporation (Southern), as administrative agent, and Fleet National Bank, as collateral agent</w:t>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ind w:start="2040" w:end="0"/>
              <w:rPr>
                <w:sz w:val="20"/>
              </w:rPr>
            </w:pPr>
            <w:r>
              <w:rPr>
                <w:sz w:val="20"/>
              </w:rPr>
            </w:r>
          </w:p>
          <w:p>
            <w:pPr>
              <w:pStyle w:val="Normal"/>
              <w:tabs>
                <w:tab w:val="clear" w:pos="720"/>
                <w:tab w:val="left" w:pos="-840" w:leader="none"/>
                <w:tab w:val="left" w:pos="-120" w:leader="none"/>
                <w:tab w:val="left" w:pos="600" w:leader="none"/>
                <w:tab w:val="left" w:pos="1320" w:leader="none"/>
                <w:tab w:val="left" w:pos="231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ind w:hanging="270" w:start="2310" w:end="0"/>
              <w:rPr>
                <w:sz w:val="20"/>
              </w:rPr>
            </w:pPr>
            <w:r>
              <w:rPr>
                <w:sz w:val="20"/>
              </w:rPr>
              <w:t>c.  the "Required Lenders," the "Collateral Agent" and the "Administrative Agent" under that certain Loan and Security Agreement dated as of August 17, 1999, among Dyersburg Corporation, certain subsidiaries of Dyersburg Corporation, including the Seller, Congress Financial Corporation (Southern), as administrative agent, and Fleet National Bank (as successor to BankBoston, N.A.), as collateral agent</w:t>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start="2040" w:end="0"/>
              <w:rPr>
                <w:sz w:val="20"/>
              </w:rPr>
            </w:pPr>
            <w:r>
              <w:rPr>
                <w:sz w:val="20"/>
              </w:rPr>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Other Required Seller Consents?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Other Required Buyer Consents?</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Terminations of Encumbrances identified in Section 3.3(b) of the Seller Disclosure Schedule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Bass</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Wire Transfer of Purchase Price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ind w:hanging="360" w:start="2040" w:end="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t>Need wiring instructions</w:t>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Buyer Certificates re Representations and Performance</w:t>
            </w:r>
          </w:p>
        </w:tc>
        <w:tc>
          <w:tcPr>
            <w:tcW w:w="19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ind w:hanging="360" w:start="2040" w:end="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rPr>
                <w:sz w:val="20"/>
              </w:rPr>
            </w:pPr>
            <w:r>
              <w:rPr>
                <w:sz w:val="20"/>
              </w:rPr>
            </w:r>
          </w:p>
        </w:tc>
      </w:tr>
      <w:tr>
        <w:trPr/>
        <w:tc>
          <w:tcPr>
            <w:tcW w:w="890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numPr>
                <w:ilvl w:val="0"/>
                <w:numId w:val="1"/>
              </w:numPr>
              <w:tabs>
                <w:tab w:val="clear" w:pos="720"/>
                <w:tab w:val="left" w:pos="-840" w:leader="none"/>
                <w:tab w:val="left" w:pos="-120" w:leader="none"/>
                <w:tab w:val="left" w:pos="600" w:leader="none"/>
                <w:tab w:val="left" w:pos="1320" w:leader="none"/>
                <w:tab w:val="left" w:pos="168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ind w:hanging="360" w:start="1680" w:end="0"/>
              <w:rPr>
                <w:sz w:val="20"/>
              </w:rPr>
            </w:pPr>
            <w:r>
              <w:rPr>
                <w:sz w:val="20"/>
              </w:rPr>
              <w:t>Legal Opinion of B&amp;P/ENA</w:t>
            </w:r>
          </w:p>
        </w:tc>
        <w:tc>
          <w:tcPr>
            <w:tcW w:w="197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spacing w:before="0" w:after="58"/>
              <w:jc w:val="center"/>
              <w:rPr>
                <w:sz w:val="20"/>
              </w:rPr>
            </w:pPr>
            <w:r>
              <w:rPr>
                <w:sz w:val="20"/>
              </w:rPr>
              <w:t>B&amp;P/ENA</w:t>
            </w:r>
          </w:p>
        </w:tc>
        <w:tc>
          <w:tcPr>
            <w:tcW w:w="28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tc>
      </w:tr>
    </w:tbl>
    <w:p>
      <w:pPr>
        <w:pStyle w:val="Normal"/>
        <w:tabs>
          <w:tab w:val="clear" w:pos="720"/>
          <w:tab w:val="left" w:pos="-840" w:leader="none"/>
          <w:tab w:val="left" w:pos="-12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 w:val="left" w:pos="8520" w:leader="none"/>
          <w:tab w:val="left" w:pos="9240" w:leader="none"/>
          <w:tab w:val="left" w:pos="9960" w:leader="none"/>
          <w:tab w:val="left" w:pos="10680" w:leader="none"/>
          <w:tab w:val="left" w:pos="11400" w:leader="none"/>
          <w:tab w:val="left" w:pos="12120" w:leader="none"/>
          <w:tab w:val="left" w:pos="12840" w:leader="none"/>
          <w:tab w:val="left" w:pos="13560" w:leader="none"/>
          <w:tab w:val="left" w:pos="14280" w:leader="none"/>
        </w:tabs>
        <w:rPr>
          <w:sz w:val="20"/>
        </w:rPr>
      </w:pPr>
      <w:r>
        <w:rPr>
          <w:sz w:val="20"/>
        </w:rPr>
      </w:r>
    </w:p>
    <w:sectPr>
      <w:footerReference w:type="default" r:id="rId2"/>
      <w:footerReference w:type="first" r:id="rId3"/>
      <w:type w:val="nextPage"/>
      <w:pgSz w:orient="landscape" w:w="15840" w:h="122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Houston\1240223.1</w:t>
    </w:r>
    <w:r>
      <w:rPr/>
      <w:tab/>
      <w:t xml:space="preserve">- </w:t>
    </w:r>
    <w:r>
      <w:rPr/>
      <w:fldChar w:fldCharType="begin"/>
    </w:r>
    <w:r>
      <w:rPr/>
      <w:instrText xml:space="preserve"> PAGE </w:instrText>
    </w:r>
    <w:r>
      <w:rPr/>
      <w:fldChar w:fldCharType="separate"/>
    </w:r>
    <w:r>
      <w:rPr/>
      <w:t>5</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360" w:hanging="360"/>
      </w:pPr>
    </w:lvl>
  </w:abstractNum>
  <w:abstractNum w:abstractNumId="2">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720"/>
        </w:tabs>
        <w:ind w:start="360" w:hanging="360"/>
      </w:pPr>
    </w:lvl>
  </w:abstractNum>
  <w:abstractNum w:abstractNumId="5">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6">
    <w:lvl w:ilvl="0">
      <w:start w:val="1"/>
      <w:numFmt w:val="decimal"/>
      <w:lvlText w:val="%1."/>
      <w:lvlJc w:val="start"/>
      <w:pPr>
        <w:tabs>
          <w:tab w:val="num" w:pos="720"/>
        </w:tabs>
        <w:ind w:start="36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2z0">
    <w:name w:val="WW8Num2z0"/>
    <w:qFormat/>
    <w:rPr>
      <w:b/>
      <w:i w:val="false"/>
      <w:caps/>
    </w:rPr>
  </w:style>
  <w:style w:type="character" w:styleId="WW8Num2z1">
    <w:name w:val="WW8Num2z1"/>
    <w:qFormat/>
    <w:rPr>
      <w:b/>
      <w:i w:val="false"/>
    </w:rPr>
  </w:style>
  <w:style w:type="character" w:styleId="WW8Num3z0">
    <w:name w:val="WW8Num3z0"/>
    <w:qFormat/>
    <w:rPr/>
  </w:style>
  <w:style w:type="character" w:styleId="WW8Num7z0">
    <w:name w:val="WW8Num7z0"/>
    <w:qFormat/>
    <w:rPr/>
  </w:style>
  <w:style w:type="character" w:styleId="WW8Num9z0">
    <w:name w:val="WW8Num9z0"/>
    <w:qFormat/>
    <w:rPr/>
  </w:style>
  <w:style w:type="character" w:styleId="WW8Num11z0">
    <w:name w:val="WW8Num11z0"/>
    <w:qFormat/>
    <w:rPr/>
  </w:style>
  <w:style w:type="character" w:styleId="WW8Num14z0">
    <w:name w:val="WW8Num14z0"/>
    <w:qFormat/>
    <w:rPr>
      <w:rFonts w:ascii="Times New Roman" w:hAnsi="Times New Roman" w:cs="Times New Roman"/>
      <w:b/>
      <w:i w:val="false"/>
      <w:sz w:val="24"/>
    </w:rPr>
  </w:style>
  <w:style w:type="character" w:styleId="WW8Num16z0">
    <w:name w:val="WW8Num16z0"/>
    <w:qFormat/>
    <w:rPr/>
  </w:style>
  <w:style w:type="character" w:styleId="DefaultParagraphFont">
    <w:name w:val="Default Paragraph Font"/>
    <w:qFormat/>
    <w:rPr/>
  </w:style>
  <w:style w:type="character" w:styleId="Corporate2A">
    <w:name w:val="Corporate2A"/>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5"/>
      </w:numPr>
      <w:spacing w:before="0" w:after="360"/>
      <w:jc w:val="center"/>
      <w:outlineLvl w:val="0"/>
    </w:pPr>
    <w:rPr>
      <w:b/>
      <w:caps/>
    </w:rPr>
  </w:style>
  <w:style w:type="paragraph" w:styleId="Corporate2">
    <w:name w:val="Corporate 2"/>
    <w:basedOn w:val="Normal"/>
    <w:next w:val="Normal"/>
    <w:qFormat/>
    <w:pPr>
      <w:numPr>
        <w:ilvl w:val="0"/>
        <w:numId w:val="5"/>
      </w:numPr>
      <w:tabs>
        <w:tab w:val="clear" w:pos="720"/>
        <w:tab w:val="left" w:pos="1440" w:leader="none"/>
      </w:tabs>
      <w:spacing w:before="0" w:after="240"/>
      <w:outlineLvl w:val="1"/>
    </w:pPr>
    <w:rPr/>
  </w:style>
  <w:style w:type="paragraph" w:styleId="Corporate3">
    <w:name w:val="Corporate 3"/>
    <w:basedOn w:val="Normal"/>
    <w:qFormat/>
    <w:pPr>
      <w:numPr>
        <w:ilvl w:val="0"/>
        <w:numId w:val="5"/>
      </w:numPr>
      <w:spacing w:before="0" w:after="240"/>
    </w:pPr>
    <w:rPr/>
  </w:style>
  <w:style w:type="paragraph" w:styleId="Corporate4">
    <w:name w:val="Corporate 4"/>
    <w:basedOn w:val="Normal"/>
    <w:qFormat/>
    <w:pPr>
      <w:numPr>
        <w:ilvl w:val="0"/>
        <w:numId w:val="5"/>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2001-01-08T17:48:00Z</dcterms:created>
  <dc:creator>Bracewell &amp; Patterson</dc:creator>
  <dc:description/>
  <dc:language>en-CA</dc:language>
  <cp:lastModifiedBy>Bracewell &amp; Patterson</cp:lastModifiedBy>
  <cp:lastPrinted>2001-01-08T11:51:00Z</cp:lastPrinted>
  <dcterms:modified xsi:type="dcterms:W3CDTF">2001-01-08T17:48:00Z</dcterms:modified>
  <cp:revision>2</cp:revision>
  <dc:subject/>
  <dc:title/>
</cp:coreProperties>
</file>