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50925" cy="10420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50925" cy="1042035"/>
                          </a:xfrm>
                          <a:prstGeom prst="rect">
                            <a:avLst/>
                          </a:prstGeom>
                          <a:noFill/>
                        </pic:spPr>
                      </pic:pic>
                    </a:graphicData>
                  </a:graphic>
                </wp:inline>
              </w:drawing>
            </w:r>
          </w:p>
        </w:tc>
        <w:tc>
          <w:tcPr>
            <w:tcW w:w="4878" w:type="dxa"/>
            <w:tcBorders/>
          </w:tcPr>
          <w:p>
            <w:pPr>
              <w:pStyle w:val="Normal"/>
              <w:tabs>
                <w:tab w:val="clear" w:pos="720"/>
                <w:tab w:val="left" w:pos="2412" w:leader="none"/>
              </w:tabs>
              <w:jc w:val="end"/>
              <w:rPr>
                <w:b/>
              </w:rPr>
            </w:pPr>
            <w:r>
              <w:rPr>
                <w:b/>
              </w:rPr>
              <w:t>Enron North America Corp</w:t>
            </w:r>
          </w:p>
          <w:p>
            <w:pPr>
              <w:pStyle w:val="Normal"/>
              <w:tabs>
                <w:tab w:val="clear" w:pos="720"/>
                <w:tab w:val="left" w:pos="2412" w:leader="none"/>
              </w:tabs>
              <w:jc w:val="end"/>
              <w:rPr>
                <w:i/>
                <w:i/>
              </w:rPr>
            </w:pPr>
            <w:r>
              <w:rPr>
                <w:i/>
              </w:rPr>
              <w:t>P.O. Box 4428</w:t>
            </w:r>
          </w:p>
          <w:p>
            <w:pPr>
              <w:pStyle w:val="Normal"/>
              <w:tabs>
                <w:tab w:val="clear" w:pos="720"/>
                <w:tab w:val="left" w:pos="2412" w:leader="none"/>
              </w:tabs>
              <w:jc w:val="end"/>
              <w:rPr>
                <w:i/>
                <w:i/>
              </w:rPr>
            </w:pPr>
            <w:r>
              <w:rPr>
                <w:i/>
              </w:rPr>
              <w:t>Houston, TX  77210-4428</w:t>
            </w:r>
          </w:p>
          <w:p>
            <w:pPr>
              <w:pStyle w:val="Normal"/>
              <w:tabs>
                <w:tab w:val="clear" w:pos="720"/>
                <w:tab w:val="left" w:pos="2412" w:leader="none"/>
              </w:tabs>
              <w:jc w:val="end"/>
              <w:rPr>
                <w:i/>
                <w:i/>
              </w:rPr>
            </w:pPr>
            <w:r>
              <w:rPr>
                <w:i/>
              </w:rPr>
              <w:t>Phone: (713) 853-3300</w:t>
            </w:r>
          </w:p>
          <w:p>
            <w:pPr>
              <w:pStyle w:val="Normal"/>
              <w:tabs>
                <w:tab w:val="clear" w:pos="720"/>
                <w:tab w:val="left" w:pos="2412" w:leader="none"/>
              </w:tabs>
              <w:jc w:val="end"/>
              <w:rPr>
                <w:i/>
                <w:i/>
              </w:rPr>
            </w:pPr>
            <w:r>
              <w:rPr>
                <w:i/>
              </w:rPr>
              <w:t>Fax:  (713) 646-4816</w:t>
            </w:r>
          </w:p>
          <w:p>
            <w:pPr>
              <w:pStyle w:val="Normal"/>
              <w:tabs>
                <w:tab w:val="clear" w:pos="720"/>
                <w:tab w:val="left" w:pos="2412" w:leader="none"/>
              </w:tabs>
              <w:rPr>
                <w:i/>
                <w:i/>
              </w:rPr>
            </w:pPr>
            <w:r>
              <w:rPr>
                <w:i/>
              </w:rPr>
            </w:r>
          </w:p>
        </w:tc>
      </w:tr>
    </w:tbl>
    <w:p>
      <w:pPr>
        <w:pStyle w:val="Normal"/>
        <w:jc w:val="end"/>
        <w:rPr/>
      </w:pPr>
      <w:r>
        <w:rPr/>
      </w:r>
    </w:p>
    <w:p>
      <w:pPr>
        <w:pStyle w:val="Normal"/>
        <w:jc w:val="center"/>
        <w:rPr/>
      </w:pPr>
      <w:r>
        <w:rPr/>
      </w:r>
    </w:p>
    <w:p>
      <w:pPr>
        <w:pStyle w:val="Normal"/>
        <w:jc w:val="center"/>
        <w:rPr/>
      </w:pPr>
      <w:r>
        <w:rPr/>
      </w:r>
    </w:p>
    <w:p>
      <w:pPr>
        <w:pStyle w:val="Normal"/>
        <w:rPr/>
      </w:pPr>
      <w:r>
        <w:rPr/>
        <w:t>March 30, 2000</w:t>
      </w:r>
    </w:p>
    <w:p>
      <w:pPr>
        <w:pStyle w:val="Normal"/>
        <w:rPr/>
      </w:pPr>
      <w:r>
        <w:rPr/>
      </w:r>
    </w:p>
    <w:p>
      <w:pPr>
        <w:pStyle w:val="Normal"/>
        <w:rPr/>
      </w:pPr>
      <w:r>
        <w:rPr/>
        <w:t>EMP ECHO, L.L.C.</w:t>
      </w:r>
    </w:p>
    <w:p>
      <w:pPr>
        <w:pStyle w:val="Normal"/>
        <w:rPr/>
      </w:pPr>
      <w:r>
        <w:rPr/>
        <w:t>900 Lovett Blvd., Suite 210</w:t>
      </w:r>
    </w:p>
    <w:p>
      <w:pPr>
        <w:pStyle w:val="Normal"/>
        <w:rPr/>
      </w:pPr>
      <w:r>
        <w:rPr/>
        <w:t>Houston, Texas 77006</w:t>
      </w:r>
    </w:p>
    <w:p>
      <w:pPr>
        <w:pStyle w:val="Normal"/>
        <w:rPr/>
      </w:pPr>
      <w:r>
        <w:rPr/>
      </w:r>
    </w:p>
    <w:p>
      <w:pPr>
        <w:pStyle w:val="Normal"/>
        <w:rPr/>
      </w:pPr>
      <w:r>
        <w:rPr/>
        <w:t>Attention:  Patti Melcher</w:t>
      </w:r>
    </w:p>
    <w:p>
      <w:pPr>
        <w:pStyle w:val="Normal"/>
        <w:rPr/>
      </w:pPr>
      <w:r>
        <w:rPr/>
      </w:r>
    </w:p>
    <w:p>
      <w:pPr>
        <w:pStyle w:val="Normal"/>
        <w:rPr/>
      </w:pPr>
      <w:r>
        <w:rPr/>
        <w:t>Fax No.:  (713) 523-0660</w:t>
      </w:r>
    </w:p>
    <w:p>
      <w:pPr>
        <w:pStyle w:val="Normal"/>
        <w:rPr/>
      </w:pPr>
      <w:r>
        <w:rPr/>
        <w:t>Telephone No.:  (713) 523-5660</w:t>
      </w:r>
    </w:p>
    <w:p>
      <w:pPr>
        <w:pStyle w:val="Index1"/>
        <w:rPr>
          <w:rFonts w:ascii="Times New Roman" w:hAnsi="Times New Roman" w:cs="Times New Roman"/>
        </w:rPr>
      </w:pPr>
      <w:r>
        <w:rPr>
          <w:rFonts w:cs="Times New Roman" w:ascii="Times New Roman" w:hAnsi="Times New Roman"/>
        </w:rPr>
      </w:r>
    </w:p>
    <w:p>
      <w:pPr>
        <w:pStyle w:val="Normal"/>
        <w:rPr/>
      </w:pPr>
      <w:r>
        <w:rPr/>
        <w:t>Re:</w:t>
        <w:tab/>
        <w:t>TRANSACTION ENA Contract No. M255739</w:t>
      </w:r>
    </w:p>
    <w:p>
      <w:pPr>
        <w:pStyle w:val="Normal"/>
        <w:rPr/>
      </w:pPr>
      <w:r>
        <w:rPr/>
      </w:r>
    </w:p>
    <w:p>
      <w:pPr>
        <w:pStyle w:val="Normal"/>
        <w:rPr/>
      </w:pPr>
      <w:r>
        <w:rPr/>
        <w:t>Dear Sirs:</w:t>
      </w:r>
    </w:p>
    <w:p>
      <w:pPr>
        <w:pStyle w:val="Normal"/>
        <w:rPr/>
      </w:pPr>
      <w:r>
        <w:rPr/>
      </w:r>
    </w:p>
    <w:p>
      <w:pPr>
        <w:pStyle w:val="BodyText"/>
        <w:rPr/>
      </w:pPr>
      <w:r>
        <w:rPr/>
        <w:t>The purpose of this document is to confirm the terms and conditions of the transaction entered into between EMP ECHO, L.L.C. (“Counterparty”) and Enron North America Corp. (“ENA”) on March 30, 2000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March 30, 2000 between Pushkar Shahi of ENA and Patricia Melcher of Counterparty.</w:t>
      </w:r>
    </w:p>
    <w:p>
      <w:pPr>
        <w:pStyle w:val="Normal"/>
        <w:jc w:val="both"/>
        <w:rPr/>
      </w:pPr>
      <w:r>
        <w:rPr/>
      </w:r>
    </w:p>
    <w:p>
      <w:pPr>
        <w:pStyle w:val="BodyText2"/>
        <w:rPr>
          <w:color w:val="000000"/>
        </w:rPr>
      </w:pPr>
      <w:r>
        <w:rPr>
          <w:color w:val="000000"/>
        </w:rPr>
        <w:t>1.</w:t>
        <w:tab/>
        <w:t>The definitions and provisions contained in the 1991 ISDA Definitions (as supplemented by the 1998 Supplement) (the “Definitions”), as published by the International Swaps &amp; Derivatives Association, Inc. (“ISDA”), are incorporated into this Confirmation.  In the event of any inconsistency between the Definitions and this Confirmation, this Confirmation will prevail.</w:t>
      </w:r>
    </w:p>
    <w:p>
      <w:pPr>
        <w:pStyle w:val="Normal"/>
        <w:jc w:val="both"/>
        <w:rPr>
          <w:color w:val="000000"/>
        </w:rPr>
      </w:pPr>
      <w:r>
        <w:rPr>
          <w:color w:val="000000"/>
        </w:rPr>
      </w:r>
    </w:p>
    <w:p>
      <w:pPr>
        <w:pStyle w:val="Normal"/>
        <w:jc w:val="both"/>
        <w:rPr/>
      </w:pPr>
      <w:r>
        <w:rPr/>
        <w:t>2.</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tbl>
      <w:tblPr>
        <w:tblW w:w="8856" w:type="dxa"/>
        <w:jc w:val="start"/>
        <w:tblInd w:w="18"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ind w:start="702" w:end="0"/>
              <w:rPr/>
            </w:pPr>
            <w:r>
              <w:rPr/>
              <w:t>Trade Date:</w:t>
            </w:r>
          </w:p>
        </w:tc>
        <w:tc>
          <w:tcPr>
            <w:tcW w:w="4428" w:type="dxa"/>
            <w:tcBorders/>
          </w:tcPr>
          <w:p>
            <w:pPr>
              <w:pStyle w:val="Normal"/>
              <w:jc w:val="both"/>
              <w:rPr/>
            </w:pPr>
            <w:r>
              <w:rPr/>
              <w:t>March 30, 2000</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Effective Date:</w:t>
            </w:r>
          </w:p>
        </w:tc>
        <w:tc>
          <w:tcPr>
            <w:tcW w:w="4428" w:type="dxa"/>
            <w:tcBorders/>
          </w:tcPr>
          <w:p>
            <w:pPr>
              <w:pStyle w:val="Normal"/>
              <w:rPr/>
            </w:pPr>
            <w:r>
              <w:rPr/>
              <w:t>March 31, 2000</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Termination Date:</w:t>
            </w:r>
          </w:p>
        </w:tc>
        <w:tc>
          <w:tcPr>
            <w:tcW w:w="4428" w:type="dxa"/>
            <w:tcBorders/>
          </w:tcPr>
          <w:p>
            <w:pPr>
              <w:pStyle w:val="Normal"/>
              <w:jc w:val="both"/>
              <w:rPr/>
            </w:pPr>
            <w:r>
              <w:rPr>
                <w:color w:val="FF0000"/>
              </w:rPr>
              <w:t>September 30, 2007</w:t>
            </w:r>
            <w:r>
              <w:rPr/>
              <w:t>, subject to adjustment in accordance with the Following Business Day Convention</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Notional Amount:</w:t>
            </w:r>
          </w:p>
        </w:tc>
        <w:tc>
          <w:tcPr>
            <w:tcW w:w="4428" w:type="dxa"/>
            <w:tcBorders/>
          </w:tcPr>
          <w:p>
            <w:pPr>
              <w:pStyle w:val="Normal"/>
              <w:jc w:val="both"/>
              <w:rPr/>
            </w:pPr>
            <w:r>
              <w:rPr/>
              <w:t>For each Calculation Period, the amount set forth in Exhibit I attached hereto opposite such Calculation Period and under the heading ‘Notional Amount’</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br w:type="page"/>
      </w:r>
      <w:r>
        <w:rPr/>
      </w:r>
    </w:p>
    <w:tbl>
      <w:tblPr>
        <w:tblW w:w="8856" w:type="dxa"/>
        <w:jc w:val="start"/>
        <w:tblInd w:w="18"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pPr>
            <w:r>
              <w:rPr/>
              <w:t>Fixed Amount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Fixed Rate Payer:</w:t>
            </w:r>
          </w:p>
        </w:tc>
        <w:tc>
          <w:tcPr>
            <w:tcW w:w="4428" w:type="dxa"/>
            <w:tcBorders/>
          </w:tcPr>
          <w:p>
            <w:pPr>
              <w:pStyle w:val="Normal"/>
              <w:rPr/>
            </w:pPr>
            <w:r>
              <w:rPr/>
              <w:t>Party B</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 xml:space="preserve">Fixed Rate Payer </w:t>
            </w:r>
          </w:p>
          <w:p>
            <w:pPr>
              <w:pStyle w:val="Normal"/>
              <w:ind w:start="702" w:end="0"/>
              <w:rPr/>
            </w:pPr>
            <w:r>
              <w:rPr/>
              <w:t>Period End Dates:</w:t>
            </w:r>
          </w:p>
        </w:tc>
        <w:tc>
          <w:tcPr>
            <w:tcW w:w="4428" w:type="dxa"/>
            <w:tcBorders/>
          </w:tcPr>
          <w:p>
            <w:pPr>
              <w:pStyle w:val="Normal"/>
              <w:snapToGrid w:val="false"/>
              <w:rPr>
                <w:color w:val="FF0000"/>
              </w:rPr>
            </w:pPr>
            <w:r>
              <w:rPr>
                <w:color w:val="FF0000"/>
              </w:rPr>
            </w:r>
          </w:p>
          <w:p>
            <w:pPr>
              <w:pStyle w:val="BodyText"/>
              <w:rPr>
                <w:color w:val="FF0000"/>
              </w:rPr>
            </w:pPr>
            <w:r>
              <w:rPr>
                <w:color w:val="FF0000"/>
              </w:rPr>
              <w:t>The last calendar day of each March, June, September, and December commencing June 30, 1999, through and including the Termination Date, subject to adjustment in accordance with the Following Business Day Convention</w:t>
            </w:r>
          </w:p>
          <w:p>
            <w:pPr>
              <w:pStyle w:val="Normal"/>
              <w:jc w:val="both"/>
              <w:rPr>
                <w:color w:val="FF0000"/>
              </w:rPr>
            </w:pPr>
            <w:r>
              <w:rPr>
                <w:color w:val="FF0000"/>
              </w:rPr>
            </w:r>
          </w:p>
        </w:tc>
      </w:tr>
      <w:tr>
        <w:trPr/>
        <w:tc>
          <w:tcPr>
            <w:tcW w:w="4428" w:type="dxa"/>
            <w:tcBorders/>
          </w:tcPr>
          <w:p>
            <w:pPr>
              <w:pStyle w:val="Normal"/>
              <w:snapToGrid w:val="false"/>
              <w:rPr>
                <w:color w:val="FF0000"/>
              </w:rPr>
            </w:pPr>
            <w:r>
              <w:rPr>
                <w:color w:val="FF0000"/>
              </w:rPr>
            </w:r>
          </w:p>
        </w:tc>
        <w:tc>
          <w:tcPr>
            <w:tcW w:w="4428" w:type="dxa"/>
            <w:tcBorders/>
          </w:tcPr>
          <w:p>
            <w:pPr>
              <w:pStyle w:val="Normal"/>
              <w:snapToGrid w:val="false"/>
              <w:rPr/>
            </w:pPr>
            <w:r>
              <w:rPr/>
            </w:r>
          </w:p>
        </w:tc>
      </w:tr>
      <w:tr>
        <w:trPr/>
        <w:tc>
          <w:tcPr>
            <w:tcW w:w="4428" w:type="dxa"/>
            <w:tcBorders/>
          </w:tcPr>
          <w:p>
            <w:pPr>
              <w:pStyle w:val="Normal"/>
              <w:ind w:start="702" w:end="0"/>
              <w:rPr/>
            </w:pPr>
            <w:r>
              <w:rPr/>
              <w:t xml:space="preserve">Fixed Rate Payer </w:t>
            </w:r>
          </w:p>
          <w:p>
            <w:pPr>
              <w:pStyle w:val="Normal"/>
              <w:ind w:start="702" w:end="0"/>
              <w:rPr/>
            </w:pPr>
            <w:r>
              <w:rPr/>
              <w:t>Payment Dates:</w:t>
            </w:r>
          </w:p>
        </w:tc>
        <w:tc>
          <w:tcPr>
            <w:tcW w:w="4428" w:type="dxa"/>
            <w:tcBorders/>
          </w:tcPr>
          <w:p>
            <w:pPr>
              <w:pStyle w:val="Normal"/>
              <w:snapToGrid w:val="false"/>
              <w:rPr>
                <w:color w:val="FF0000"/>
              </w:rPr>
            </w:pPr>
            <w:r>
              <w:rPr>
                <w:color w:val="FF0000"/>
              </w:rPr>
            </w:r>
          </w:p>
          <w:p>
            <w:pPr>
              <w:pStyle w:val="BodyText"/>
              <w:rPr>
                <w:color w:val="FF0000"/>
              </w:rPr>
            </w:pPr>
            <w:r>
              <w:rPr>
                <w:color w:val="FF0000"/>
              </w:rPr>
              <w:t>The last calendar day of each March, June, September, and December commencing June 30, 1999, through and including the Termination Date, subject to adjustment in accordance with the Following Business Day Convention, with the exception that the first payment, due June 30, 2000, will be accrued and paid with the second payment to be made September 30, 2000</w:t>
            </w:r>
          </w:p>
          <w:p>
            <w:pPr>
              <w:pStyle w:val="Normal"/>
              <w:jc w:val="both"/>
              <w:rPr>
                <w:color w:val="FF0000"/>
              </w:rPr>
            </w:pPr>
            <w:r>
              <w:rPr>
                <w:color w:val="FF0000"/>
              </w:rPr>
            </w:r>
          </w:p>
        </w:tc>
      </w:tr>
      <w:tr>
        <w:trPr/>
        <w:tc>
          <w:tcPr>
            <w:tcW w:w="4428" w:type="dxa"/>
            <w:tcBorders/>
          </w:tcPr>
          <w:p>
            <w:pPr>
              <w:pStyle w:val="Normal"/>
              <w:snapToGrid w:val="false"/>
              <w:rPr>
                <w:color w:val="FF0000"/>
              </w:rPr>
            </w:pPr>
            <w:r>
              <w:rPr>
                <w:color w:val="FF0000"/>
              </w:rPr>
            </w:r>
          </w:p>
        </w:tc>
        <w:tc>
          <w:tcPr>
            <w:tcW w:w="4428" w:type="dxa"/>
            <w:tcBorders/>
          </w:tcPr>
          <w:p>
            <w:pPr>
              <w:pStyle w:val="Normal"/>
              <w:snapToGrid w:val="false"/>
              <w:rPr/>
            </w:pPr>
            <w:r>
              <w:rPr/>
            </w:r>
          </w:p>
        </w:tc>
      </w:tr>
      <w:tr>
        <w:trPr/>
        <w:tc>
          <w:tcPr>
            <w:tcW w:w="4428" w:type="dxa"/>
            <w:tcBorders/>
          </w:tcPr>
          <w:p>
            <w:pPr>
              <w:pStyle w:val="Normal"/>
              <w:ind w:start="702" w:end="0"/>
              <w:rPr/>
            </w:pPr>
            <w:r>
              <w:rPr/>
              <w:t>Fixed Rate:</w:t>
            </w:r>
          </w:p>
        </w:tc>
        <w:tc>
          <w:tcPr>
            <w:tcW w:w="4428" w:type="dxa"/>
            <w:tcBorders/>
          </w:tcPr>
          <w:p>
            <w:pPr>
              <w:pStyle w:val="Normal"/>
              <w:rPr/>
            </w:pPr>
            <w:r>
              <w:rPr/>
              <w:t>8.48 percent</w:t>
            </w:r>
          </w:p>
        </w:tc>
      </w:tr>
      <w:tr>
        <w:trPr/>
        <w:tc>
          <w:tcPr>
            <w:tcW w:w="4428" w:type="dxa"/>
            <w:tcBorders/>
          </w:tcPr>
          <w:p>
            <w:pPr>
              <w:pStyle w:val="Normal"/>
              <w:snapToGrid w:val="false"/>
              <w:ind w:start="702" w:end="0"/>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Fixed Rate Day Count Fraction:</w:t>
            </w:r>
          </w:p>
        </w:tc>
        <w:tc>
          <w:tcPr>
            <w:tcW w:w="4428" w:type="dxa"/>
            <w:tcBorders/>
          </w:tcPr>
          <w:p>
            <w:pPr>
              <w:pStyle w:val="Normal"/>
              <w:rPr/>
            </w:pPr>
            <w:r>
              <w:rPr/>
              <w:t>Actual/365 (fixed)</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Floating Amount Details</w:t>
            </w:r>
          </w:p>
        </w:tc>
        <w:tc>
          <w:tcPr>
            <w:tcW w:w="4428" w:type="dxa"/>
            <w:tcBorders/>
          </w:tcPr>
          <w:p>
            <w:pPr>
              <w:pStyle w:val="Normal"/>
              <w:snapToGrid w:val="false"/>
              <w:jc w:val="both"/>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Floating Rate Payer:</w:t>
            </w:r>
          </w:p>
        </w:tc>
        <w:tc>
          <w:tcPr>
            <w:tcW w:w="4428" w:type="dxa"/>
            <w:tcBorders/>
          </w:tcPr>
          <w:p>
            <w:pPr>
              <w:pStyle w:val="Normal"/>
              <w:rPr/>
            </w:pPr>
            <w:r>
              <w:rPr/>
              <w:t>Party A</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 xml:space="preserve">Floating Rate Payer </w:t>
            </w:r>
          </w:p>
          <w:p>
            <w:pPr>
              <w:pStyle w:val="Normal"/>
              <w:ind w:start="702" w:end="0"/>
              <w:rPr/>
            </w:pPr>
            <w:r>
              <w:rPr/>
              <w:t>Period End Dates:</w:t>
            </w:r>
          </w:p>
        </w:tc>
        <w:tc>
          <w:tcPr>
            <w:tcW w:w="4428" w:type="dxa"/>
            <w:tcBorders/>
          </w:tcPr>
          <w:p>
            <w:pPr>
              <w:pStyle w:val="BodyText"/>
              <w:snapToGrid w:val="false"/>
              <w:rPr/>
            </w:pPr>
            <w:r>
              <w:rPr/>
            </w:r>
          </w:p>
          <w:p>
            <w:pPr>
              <w:pStyle w:val="BodyText"/>
              <w:rPr/>
            </w:pPr>
            <w:r>
              <w:rPr/>
              <w:t>The last calendar day of each March, June, September, and December commencing June 30, 1999, through and including the Termination Date, subject to adjustment in accordance with the Following Business Day Convention</w:t>
            </w:r>
          </w:p>
          <w:p>
            <w:pPr>
              <w:pStyle w:val="Normal"/>
              <w:jc w:val="both"/>
              <w:rPr/>
            </w:pPr>
            <w:r>
              <w:rPr/>
            </w:r>
          </w:p>
        </w:tc>
      </w:tr>
      <w:tr>
        <w:trPr/>
        <w:tc>
          <w:tcPr>
            <w:tcW w:w="4428" w:type="dxa"/>
            <w:tcBorders/>
          </w:tcPr>
          <w:p>
            <w:pPr>
              <w:pStyle w:val="Normal"/>
              <w:ind w:start="702" w:end="0"/>
              <w:rPr/>
            </w:pPr>
            <w:r>
              <w:rPr/>
              <w:t xml:space="preserve">Floating Rate Payer </w:t>
            </w:r>
          </w:p>
          <w:p>
            <w:pPr>
              <w:pStyle w:val="Normal"/>
              <w:ind w:start="702" w:end="0"/>
              <w:rPr/>
            </w:pPr>
            <w:r>
              <w:rPr/>
              <w:t>Payment Dates:</w:t>
            </w:r>
          </w:p>
        </w:tc>
        <w:tc>
          <w:tcPr>
            <w:tcW w:w="4428" w:type="dxa"/>
            <w:tcBorders/>
          </w:tcPr>
          <w:p>
            <w:pPr>
              <w:pStyle w:val="Normal"/>
              <w:snapToGrid w:val="false"/>
              <w:rPr>
                <w:color w:val="FF0000"/>
              </w:rPr>
            </w:pPr>
            <w:r>
              <w:rPr>
                <w:color w:val="FF0000"/>
              </w:rPr>
            </w:r>
          </w:p>
          <w:p>
            <w:pPr>
              <w:pStyle w:val="BodyText"/>
              <w:rPr>
                <w:color w:val="FF0000"/>
              </w:rPr>
            </w:pPr>
            <w:r>
              <w:rPr>
                <w:color w:val="FF0000"/>
              </w:rPr>
              <w:t>The last calendar day of each March, June, September, and December commencing June 30, 1999, through and including the Termination Date, subject to adjustment in accordance with the Following Business Day Convention, with the exception that the first payment, due June 30, 2000, will be accrued and paid with the second payment to be made September 30, 2000</w:t>
            </w:r>
          </w:p>
          <w:p>
            <w:pPr>
              <w:pStyle w:val="Normal"/>
              <w:jc w:val="both"/>
              <w:rPr>
                <w:color w:val="FF0000"/>
              </w:rPr>
            </w:pPr>
            <w:r>
              <w:rPr>
                <w:color w:val="FF0000"/>
              </w:rPr>
            </w:r>
          </w:p>
        </w:tc>
      </w:tr>
      <w:tr>
        <w:trPr/>
        <w:tc>
          <w:tcPr>
            <w:tcW w:w="4428" w:type="dxa"/>
            <w:tcBorders/>
          </w:tcPr>
          <w:p>
            <w:pPr>
              <w:pStyle w:val="Normal"/>
              <w:snapToGrid w:val="false"/>
              <w:rPr>
                <w:color w:val="FF0000"/>
              </w:rPr>
            </w:pPr>
            <w:r>
              <w:rPr>
                <w:color w:val="FF0000"/>
              </w:rPr>
            </w:r>
          </w:p>
        </w:tc>
        <w:tc>
          <w:tcPr>
            <w:tcW w:w="4428" w:type="dxa"/>
            <w:tcBorders/>
          </w:tcPr>
          <w:p>
            <w:pPr>
              <w:pStyle w:val="Normal"/>
              <w:snapToGrid w:val="false"/>
              <w:rPr/>
            </w:pPr>
            <w:r>
              <w:rPr/>
            </w:r>
          </w:p>
        </w:tc>
      </w:tr>
      <w:tr>
        <w:trPr/>
        <w:tc>
          <w:tcPr>
            <w:tcW w:w="4428" w:type="dxa"/>
            <w:tcBorders/>
          </w:tcPr>
          <w:p>
            <w:pPr>
              <w:pStyle w:val="Normal"/>
              <w:ind w:start="702" w:end="0"/>
              <w:rPr/>
            </w:pPr>
            <w:r>
              <w:rPr/>
              <w:t>Floating Rate Option:</w:t>
            </w:r>
          </w:p>
        </w:tc>
        <w:tc>
          <w:tcPr>
            <w:tcW w:w="4428" w:type="dxa"/>
            <w:tcBorders/>
          </w:tcPr>
          <w:p>
            <w:pPr>
              <w:pStyle w:val="Normal"/>
              <w:rPr/>
            </w:pPr>
            <w:r>
              <w:rPr/>
              <w:t>USD-LIBOR-BBA, or, if no longer published, then USD-LIBOR-LIBO</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Designated Maturity:</w:t>
            </w:r>
          </w:p>
        </w:tc>
        <w:tc>
          <w:tcPr>
            <w:tcW w:w="4428" w:type="dxa"/>
            <w:tcBorders/>
          </w:tcPr>
          <w:p>
            <w:pPr>
              <w:pStyle w:val="Normal"/>
              <w:jc w:val="both"/>
              <w:rPr/>
            </w:pPr>
            <w:r>
              <w:rPr/>
              <w:t>Three Months</w:t>
            </w:r>
          </w:p>
        </w:tc>
      </w:tr>
      <w:tr>
        <w:trPr/>
        <w:tc>
          <w:tcPr>
            <w:tcW w:w="4428" w:type="dxa"/>
            <w:tcBorders/>
          </w:tcPr>
          <w:p>
            <w:pPr>
              <w:pStyle w:val="Normal"/>
              <w:snapToGrid w:val="false"/>
              <w:ind w:start="702" w:end="0"/>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Spread:</w:t>
            </w:r>
          </w:p>
        </w:tc>
        <w:tc>
          <w:tcPr>
            <w:tcW w:w="4428" w:type="dxa"/>
            <w:tcBorders/>
          </w:tcPr>
          <w:p>
            <w:pPr>
              <w:pStyle w:val="Normal"/>
              <w:rPr/>
            </w:pPr>
            <w:r>
              <w:rPr/>
              <w:t>Plus 1.25 percent</w:t>
            </w:r>
          </w:p>
        </w:tc>
      </w:tr>
      <w:tr>
        <w:trPr/>
        <w:tc>
          <w:tcPr>
            <w:tcW w:w="4428" w:type="dxa"/>
            <w:tcBorders/>
          </w:tcPr>
          <w:p>
            <w:pPr>
              <w:pStyle w:val="Normal"/>
              <w:snapToGrid w:val="false"/>
              <w:ind w:start="702" w:end="0"/>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Floating Rate Payer</w:t>
            </w:r>
          </w:p>
          <w:p>
            <w:pPr>
              <w:pStyle w:val="Normal"/>
              <w:ind w:start="702" w:end="0"/>
              <w:rPr/>
            </w:pPr>
            <w:r>
              <w:rPr/>
              <w:t>Day Count Fraction:</w:t>
            </w:r>
          </w:p>
        </w:tc>
        <w:tc>
          <w:tcPr>
            <w:tcW w:w="4428" w:type="dxa"/>
            <w:tcBorders/>
          </w:tcPr>
          <w:p>
            <w:pPr>
              <w:pStyle w:val="Normal"/>
              <w:snapToGrid w:val="false"/>
              <w:rPr/>
            </w:pPr>
            <w:r>
              <w:rPr/>
            </w:r>
          </w:p>
          <w:p>
            <w:pPr>
              <w:pStyle w:val="Normal"/>
              <w:rPr/>
            </w:pPr>
            <w:r>
              <w:rPr/>
              <w:t>Actual/365 (fixed)</w:t>
            </w:r>
          </w:p>
        </w:tc>
      </w:tr>
      <w:tr>
        <w:trPr/>
        <w:tc>
          <w:tcPr>
            <w:tcW w:w="4428" w:type="dxa"/>
            <w:tcBorders/>
          </w:tcPr>
          <w:p>
            <w:pPr>
              <w:pStyle w:val="Normal"/>
              <w:snapToGrid w:val="false"/>
              <w:ind w:start="702" w:end="0"/>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Floating Rate Payer Reset Dates:</w:t>
            </w:r>
          </w:p>
        </w:tc>
        <w:tc>
          <w:tcPr>
            <w:tcW w:w="4428" w:type="dxa"/>
            <w:tcBorders/>
          </w:tcPr>
          <w:p>
            <w:pPr>
              <w:pStyle w:val="Normal"/>
              <w:jc w:val="both"/>
              <w:rPr/>
            </w:pPr>
            <w:r>
              <w:rPr/>
              <w:t>The first day of each Floating Rate Payer Calculation Period</w:t>
            </w:r>
          </w:p>
        </w:tc>
      </w:tr>
      <w:tr>
        <w:trPr/>
        <w:tc>
          <w:tcPr>
            <w:tcW w:w="4428" w:type="dxa"/>
            <w:tcBorders/>
          </w:tcPr>
          <w:p>
            <w:pPr>
              <w:pStyle w:val="Normal"/>
              <w:snapToGrid w:val="false"/>
              <w:ind w:start="702" w:end="0"/>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Compounding:</w:t>
            </w:r>
          </w:p>
        </w:tc>
        <w:tc>
          <w:tcPr>
            <w:tcW w:w="4428" w:type="dxa"/>
            <w:tcBorders/>
          </w:tcPr>
          <w:p>
            <w:pPr>
              <w:pStyle w:val="Normal"/>
              <w:rPr/>
            </w:pPr>
            <w:r>
              <w:rPr/>
              <w:t>Inapplicable</w:t>
            </w:r>
          </w:p>
        </w:tc>
      </w:tr>
    </w:tbl>
    <w:p>
      <w:pPr>
        <w:pStyle w:val="Normal"/>
        <w:jc w:val="both"/>
        <w:rPr/>
      </w:pPr>
      <w:r>
        <w:rPr/>
      </w:r>
    </w:p>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3.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ENA:</w:t>
            </w:r>
          </w:p>
        </w:tc>
        <w:tc>
          <w:tcPr>
            <w:tcW w:w="4428" w:type="dxa"/>
            <w:tcBorders/>
          </w:tcPr>
          <w:p>
            <w:pPr>
              <w:pStyle w:val="Normal"/>
              <w:snapToGrid w:val="false"/>
              <w:rPr/>
            </w:pPr>
            <w:r>
              <w:rPr/>
            </w:r>
          </w:p>
        </w:tc>
      </w:tr>
    </w:tbl>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Bank of America,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North America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  Chase Bank</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  EMP ECHO, L.L.C.</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  001 033 02593</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  113 000 609</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rPr/>
            </w:pPr>
            <w:r>
              <w:rPr/>
              <w:t xml:space="preserve">  </w:t>
            </w:r>
            <w:r>
              <w:rPr/>
              <w:t>Patti Melcher</w:t>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4.</w:t>
        <w:tab/>
      </w:r>
      <w:r>
        <w:rPr>
          <w:b/>
          <w:u w:val="single"/>
        </w:rPr>
        <w:t>General</w:t>
      </w:r>
      <w:r>
        <w:rPr>
          <w:b/>
        </w:rPr>
        <w:t>.</w:t>
      </w:r>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5.</w:t>
      </w:r>
      <w:r>
        <w:rPr>
          <w:b/>
        </w:rPr>
        <w:tab/>
        <w:tab/>
      </w:r>
      <w:r>
        <w:rPr>
          <w:b/>
          <w:u w:val="single"/>
        </w:rPr>
        <w:t>Representations</w:t>
      </w:r>
      <w:r>
        <w:rPr>
          <w:b/>
        </w:rPr>
        <w:t>.</w:t>
      </w:r>
      <w:r>
        <w:rPr/>
        <w:t xml:space="preserve">  To induce the other to enter into the Transaction, each party represents and warrants to the other that :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Eligible Swap Participant</w:t>
      </w:r>
      <w:r>
        <w:rPr/>
        <w:t xml:space="preserve">: it constitutes an “eligible swap participant” as such term is defined in  17 C.F.R. Section 35.1(b)(2) and this Confirmation constitutes a “swap agreement” within the meaning of 17 C.F.R. Section 35.1(b)(1); and (c) </w:t>
      </w:r>
      <w:r>
        <w:rPr>
          <w:u w:val="single"/>
        </w:rPr>
        <w:t>Line of Business</w:t>
      </w:r>
      <w:r>
        <w:rPr>
          <w:color w:val="000000"/>
        </w:rPr>
        <w:t>: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w:t>
      </w:r>
      <w:r>
        <w:rPr/>
        <w:t xml:space="preserve"> (d) </w:t>
      </w:r>
      <w:r>
        <w:rPr>
          <w:u w:val="single"/>
        </w:rPr>
        <w:t>No Reliance and No Advisory Status</w:t>
      </w:r>
      <w:r>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forms, documents or certificates as required pursuant to Section II(a) of </w:t>
      </w:r>
      <w:r>
        <w:rPr>
          <w:u w:val="single"/>
        </w:rPr>
        <w:t>Annex A</w:t>
      </w:r>
      <w:r>
        <w:rPr/>
        <w:t>.</w:t>
      </w:r>
    </w:p>
    <w:p>
      <w:pPr>
        <w:pStyle w:val="Normal"/>
        <w:jc w:val="both"/>
        <w:rPr/>
      </w:pPr>
      <w:r>
        <w:rPr/>
      </w:r>
    </w:p>
    <w:p>
      <w:pPr>
        <w:pStyle w:val="Normal"/>
        <w:jc w:val="both"/>
        <w:rPr/>
      </w:pPr>
      <w:r>
        <w:rPr/>
        <w:t>6.</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jc w:val="both"/>
        <w:rPr/>
      </w:pPr>
      <w:r>
        <w:rPr/>
        <w:t>7.</w:t>
        <w:tab/>
      </w:r>
      <w:r>
        <w:rPr>
          <w:b/>
          <w:u w:val="single"/>
        </w:rPr>
        <w:t>Governing Law/Jurisdiction</w:t>
      </w:r>
      <w:r>
        <w:rPr>
          <w:b/>
        </w:rPr>
        <w:t>.</w:t>
      </w:r>
      <w:r>
        <w:rPr/>
        <w:t xml:space="preserve">  This Confirmation and the ISDA Agreement will be governed by and construed in accordance with the laws of the State of </w:t>
      </w:r>
      <w:r>
        <w:rPr>
          <w:color w:val="000000"/>
        </w:rPr>
        <w:t>Texas (</w:t>
      </w:r>
      <w:r>
        <w:rPr/>
        <w:t xml:space="preserve">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w:t>
      </w:r>
      <w:r>
        <w:rPr>
          <w:color w:val="000000"/>
        </w:rPr>
        <w:t>Houston, Texas</w:t>
      </w:r>
      <w:r>
        <w:rPr/>
        <w:t>, and such arbitration, and any related award shall be confidential.</w:t>
      </w:r>
    </w:p>
    <w:p>
      <w:pPr>
        <w:pStyle w:val="Normal"/>
        <w:jc w:val="both"/>
        <w:rPr/>
      </w:pPr>
      <w:r>
        <w:rPr/>
      </w:r>
    </w:p>
    <w:p>
      <w:pPr>
        <w:pStyle w:val="Normal"/>
        <w:jc w:val="both"/>
        <w:rPr/>
      </w:pPr>
      <w:r>
        <w:rPr/>
        <w:t>8.</w:t>
        <w:tab/>
      </w:r>
      <w:r>
        <w:rPr>
          <w:b/>
          <w:u w:val="single"/>
        </w:rPr>
        <w:t>Confidentiality</w:t>
      </w:r>
      <w:r>
        <w:rPr>
          <w:b/>
        </w:rPr>
        <w:t>.</w:t>
      </w:r>
      <w:r>
        <w:rPr/>
        <w:t xml:space="preserve">  The contents of this Confirmation,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9.</w:t>
        <w:tab/>
      </w:r>
      <w:r>
        <w:rPr>
          <w:b/>
          <w:u w:val="single"/>
        </w:rPr>
        <w:t>Calculation Agent</w:t>
      </w:r>
      <w:r>
        <w:rPr>
          <w:b/>
        </w:rPr>
        <w:t>.</w:t>
      </w:r>
      <w:r>
        <w:rPr/>
        <w:t xml:space="preserve">  The Calculation Agent shall be ENA.</w:t>
      </w:r>
    </w:p>
    <w:p>
      <w:pPr>
        <w:pStyle w:val="Normal"/>
        <w:jc w:val="both"/>
        <w:rPr/>
      </w:pPr>
      <w:r>
        <w:rPr/>
      </w:r>
    </w:p>
    <w:p>
      <w:pPr>
        <w:pStyle w:val="Normal"/>
        <w:tabs>
          <w:tab w:val="clear" w:pos="720"/>
          <w:tab w:val="left" w:pos="810" w:leader="none"/>
          <w:tab w:val="left" w:pos="1170" w:leader="none"/>
        </w:tabs>
        <w:jc w:val="both"/>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rPr/>
      </w:pPr>
      <w:r>
        <w:rPr/>
      </w:r>
    </w:p>
    <w:p>
      <w:pPr>
        <w:pStyle w:val="Normal"/>
        <w:jc w:val="both"/>
        <w:rPr/>
      </w:pPr>
      <w:r>
        <w:rPr/>
        <w:t>11.</w:t>
        <w:tab/>
      </w:r>
      <w:r>
        <w:rPr>
          <w:b/>
          <w:u w:val="single"/>
        </w:rPr>
        <w:t>Setoff</w:t>
      </w:r>
      <w:r>
        <w:rPr>
          <w:b/>
        </w:rPr>
        <w:t>.</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pPr>
      <w:r>
        <w:rPr/>
      </w:r>
    </w:p>
    <w:p>
      <w:pPr>
        <w:pStyle w:val="Normal"/>
        <w:rPr/>
      </w:pPr>
      <w:r>
        <w:rPr/>
        <w:t>12.</w:t>
        <w:tab/>
      </w:r>
      <w:r>
        <w:rPr>
          <w:b/>
          <w:u w:val="single"/>
        </w:rPr>
        <w:t>Offices</w:t>
      </w:r>
      <w:r>
        <w:rPr>
          <w:b/>
        </w:rPr>
        <w:t>.</w:t>
      </w:r>
    </w:p>
    <w:p>
      <w:pPr>
        <w:pStyle w:val="Normal"/>
        <w:keepNext w:val="true"/>
        <w:rPr/>
      </w:pPr>
      <w:r>
        <w:rPr/>
      </w:r>
    </w:p>
    <w:p>
      <w:pPr>
        <w:pStyle w:val="Normal"/>
        <w:keepNext w:val="true"/>
        <w:jc w:val="both"/>
        <w:rPr/>
      </w:pPr>
      <w:r>
        <w:rPr/>
        <w:tab/>
        <w:t>(a)</w:t>
        <w:tab/>
        <w:t>The office of Enron North America Corp. is and copies of any notices should be delivered to 1400 Smith Street, Houston, Texas  77002, Attention:  Director, Documentation Department, Facsimile No. (713) 646-2196; and to Attention: Assistant General Counsel, Trading Group - ENA, Facsimile No. (713) 646-3490, at the above address; and</w:t>
      </w:r>
    </w:p>
    <w:p>
      <w:pPr>
        <w:pStyle w:val="Normal"/>
        <w:jc w:val="both"/>
        <w:rPr/>
      </w:pPr>
      <w:r>
        <w:rPr/>
      </w:r>
    </w:p>
    <w:p>
      <w:pPr>
        <w:pStyle w:val="Normal"/>
        <w:jc w:val="both"/>
        <w:rPr/>
      </w:pPr>
      <w:r>
        <w:rPr/>
        <w:tab/>
        <w:t>(b)</w:t>
        <w:tab/>
        <w:t>The office of Counterparty is and copies of any notices should be delivered to: EMP ECHO, L.L.C., 900 Lovett Blvd., Suite 210, Houston, Texas  77006, Facsimile No.  (713) 523-0660.</w:t>
      </w:r>
    </w:p>
    <w:p>
      <w:pPr>
        <w:pStyle w:val="Normal"/>
        <w:jc w:val="both"/>
        <w:rPr/>
      </w:pPr>
      <w:r>
        <w:rPr/>
      </w:r>
    </w:p>
    <w:p>
      <w:pPr>
        <w:pStyle w:val="Normal"/>
        <w:numPr>
          <w:ilvl w:val="0"/>
          <w:numId w:val="2"/>
        </w:numPr>
        <w:jc w:val="both"/>
        <w:rPr>
          <w:b/>
          <w:color w:val="000000"/>
          <w:u w:val="single"/>
        </w:rPr>
      </w:pPr>
      <w:r>
        <w:rPr>
          <w:b/>
          <w:color w:val="000000"/>
          <w:u w:val="single"/>
        </w:rPr>
        <w:t>Authorization.</w:t>
      </w:r>
    </w:p>
    <w:p>
      <w:pPr>
        <w:pStyle w:val="Normal"/>
        <w:jc w:val="both"/>
        <w:rPr>
          <w:b/>
          <w:color w:val="000000"/>
          <w:u w:val="single"/>
        </w:rPr>
      </w:pPr>
      <w:r>
        <w:rPr>
          <w:b/>
          <w:color w:val="000000"/>
          <w:u w:val="single"/>
        </w:rPr>
      </w:r>
    </w:p>
    <w:p>
      <w:pPr>
        <w:pStyle w:val="Normal"/>
        <w:ind w:firstLine="720" w:end="0"/>
        <w:jc w:val="both"/>
        <w:rPr>
          <w:color w:val="000000"/>
        </w:rPr>
      </w:pPr>
      <w:r>
        <w:rPr>
          <w:color w:val="000000"/>
        </w:rPr>
        <w:t>For the purpose of Section 4(a) of the ISDA Agreement, upon execution of this Confirmation, Counterparty agrees to deliver to ENA:</w:t>
      </w:r>
    </w:p>
    <w:p>
      <w:pPr>
        <w:pStyle w:val="Normal"/>
        <w:ind w:firstLine="720" w:end="0"/>
        <w:jc w:val="both"/>
        <w:rPr>
          <w:color w:val="000000"/>
        </w:rPr>
      </w:pPr>
      <w:r>
        <w:rPr>
          <w:color w:val="000000"/>
        </w:rPr>
      </w:r>
    </w:p>
    <w:p>
      <w:pPr>
        <w:pStyle w:val="Normal"/>
        <w:numPr>
          <w:ilvl w:val="0"/>
          <w:numId w:val="3"/>
        </w:numPr>
        <w:jc w:val="both"/>
        <w:rPr>
          <w:color w:val="000000"/>
        </w:rPr>
      </w:pPr>
      <w:r>
        <w:rPr>
          <w:color w:val="000000"/>
        </w:rPr>
        <w:t>A certified resolution of its board of directors or other governing body (i) authorizing this Confirmation and the Transaction contemplated hereby and (ii) authorizing a specified person(s) to execute and deliver on its behalf this Confirmation;</w:t>
      </w:r>
    </w:p>
    <w:p>
      <w:pPr>
        <w:pStyle w:val="Normal"/>
        <w:numPr>
          <w:ilvl w:val="0"/>
          <w:numId w:val="3"/>
        </w:numPr>
        <w:jc w:val="both"/>
        <w:rPr>
          <w:color w:val="000000"/>
        </w:rPr>
      </w:pPr>
      <w:r>
        <w:rPr>
          <w:color w:val="000000"/>
        </w:rPr>
        <w:t xml:space="preserve">Copies of its Certificate of Organization and its Operating Agreement (or other constituent documents); and </w:t>
      </w:r>
    </w:p>
    <w:p>
      <w:pPr>
        <w:pStyle w:val="Normal"/>
        <w:numPr>
          <w:ilvl w:val="0"/>
          <w:numId w:val="3"/>
        </w:numPr>
        <w:jc w:val="both"/>
        <w:rPr/>
      </w:pPr>
      <w:r>
        <w:rPr>
          <w:color w:val="000000"/>
        </w:rPr>
        <w:t>A certificate certifying as to incumbency and specimen signature of the person executing this</w:t>
      </w:r>
      <w:r>
        <w:rPr/>
        <w:t xml:space="preserve"> Confirmation.</w:t>
      </w:r>
    </w:p>
    <w:p>
      <w:pPr>
        <w:pStyle w:val="Normal"/>
        <w:jc w:val="both"/>
        <w:rPr/>
      </w:pPr>
      <w:r>
        <w:rPr/>
      </w:r>
    </w:p>
    <w:p>
      <w:pPr>
        <w:pStyle w:val="Normal"/>
        <w:keepNext w:val="true"/>
        <w:jc w:val="both"/>
        <w:rPr>
          <w:b/>
          <w:u w:val="single"/>
        </w:rPr>
      </w:pPr>
      <w:r>
        <w:rPr/>
        <w:t>14.</w:t>
        <w:tab/>
      </w:r>
      <w:r>
        <w:rPr>
          <w:b/>
          <w:u w:val="single"/>
        </w:rPr>
        <w:t>Credit or Other Special Provisions</w:t>
      </w:r>
      <w:r>
        <w:rPr>
          <w:b/>
        </w:rPr>
        <w:t>.</w:t>
      </w:r>
    </w:p>
    <w:p>
      <w:pPr>
        <w:pStyle w:val="Normal"/>
        <w:keepNext w:val="true"/>
        <w:jc w:val="both"/>
        <w:rPr>
          <w:b/>
          <w:u w:val="single"/>
        </w:rPr>
      </w:pPr>
      <w:r>
        <w:rPr>
          <w:b/>
          <w:u w:val="single"/>
        </w:rPr>
      </w:r>
    </w:p>
    <w:p>
      <w:pPr>
        <w:pStyle w:val="Normal"/>
        <w:keepNext w:val="true"/>
        <w:jc w:val="both"/>
        <w:rPr/>
      </w:pPr>
      <w:r>
        <w:rPr/>
        <w:tab/>
        <w:t>The credit or other special provisions contained in Annex B hereto and made a part hereof apply and are incorporated herein by reference, such that the term “Confirmation” as used herein and in the Annex attached hereto, shall refer to and mean, this Confirmation, together with Annex B attached hereto.</w:t>
      </w:r>
    </w:p>
    <w:p>
      <w:pPr>
        <w:pStyle w:val="Normal"/>
        <w:jc w:val="both"/>
        <w:rPr/>
      </w:pPr>
      <w:r>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BodyText"/>
        <w:rPr/>
      </w:pPr>
      <w:r>
        <w:rPr/>
      </w:r>
    </w:p>
    <w:p>
      <w:pPr>
        <w:pStyle w:val="Normal"/>
        <w:jc w:val="both"/>
        <w:rPr/>
      </w:pPr>
      <w:r>
        <w:rPr/>
        <w:t>Enron North America Corp. is pleased to have entered into this Transaction with you.</w:t>
      </w:r>
    </w:p>
    <w:p>
      <w:pPr>
        <w:pStyle w:val="Normal"/>
        <w:rPr/>
      </w:pPr>
      <w:r>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rPr>
      </w:pPr>
      <w:r>
        <w:rPr>
          <w:rFonts w:cs="Times New Roman"/>
        </w:rPr>
      </w:r>
    </w:p>
    <w:p>
      <w:pPr>
        <w:pStyle w:val="Normal"/>
        <w:keepNext w:val="true"/>
        <w:rPr>
          <w:b/>
        </w:rPr>
      </w:pPr>
      <w:r>
        <w:rPr>
          <w:b/>
        </w:rPr>
        <w:t>ENRON NORTH AMERICA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Normal"/>
        <w:keepNext w:val="true"/>
        <w:rPr/>
      </w:pPr>
      <w:r>
        <w:rPr/>
      </w:r>
    </w:p>
    <w:p>
      <w:pPr>
        <w:pStyle w:val="Normal"/>
        <w:keepNext w:val="true"/>
        <w:rPr>
          <w:b/>
        </w:rPr>
      </w:pPr>
      <w:r>
        <w:rPr>
          <w:b/>
        </w:rPr>
        <w:t>EMP ECHO, L.L.C.</w:t>
      </w:r>
    </w:p>
    <w:p>
      <w:pPr>
        <w:pStyle w:val="Normal"/>
        <w:keepNext w:val="true"/>
        <w:rPr>
          <w:b/>
        </w:rPr>
      </w:pPr>
      <w:r>
        <w:rPr>
          <w:b/>
        </w:rPr>
      </w:r>
    </w:p>
    <w:p>
      <w:pPr>
        <w:pStyle w:val="Normal"/>
        <w:keepNext w:val="true"/>
        <w:tabs>
          <w:tab w:val="clear" w:pos="720"/>
          <w:tab w:val="left" w:pos="360" w:leader="none"/>
        </w:tabs>
        <w:rPr>
          <w:b/>
        </w:rPr>
      </w:pPr>
      <w:r>
        <w:rPr>
          <w:b/>
        </w:rPr>
        <w:tab/>
        <w:t>By:  Allegro Capital Management, Inc.,</w:t>
      </w:r>
    </w:p>
    <w:p>
      <w:pPr>
        <w:pStyle w:val="Normal"/>
        <w:keepNext w:val="true"/>
        <w:tabs>
          <w:tab w:val="clear" w:pos="720"/>
          <w:tab w:val="left" w:pos="360" w:leader="none"/>
        </w:tabs>
        <w:rPr>
          <w:b/>
        </w:rPr>
      </w:pPr>
      <w:r>
        <w:rPr>
          <w:b/>
        </w:rPr>
        <w:tab/>
        <w:tab/>
        <w:t>Its Managing Member</w:t>
      </w:r>
    </w:p>
    <w:p>
      <w:pPr>
        <w:pStyle w:val="Normal"/>
        <w:keepNext w:val="true"/>
        <w:tabs>
          <w:tab w:val="clear" w:pos="720"/>
          <w:tab w:val="left" w:pos="360" w:leader="none"/>
        </w:tabs>
        <w:rPr>
          <w:b/>
          <w:color w:val="FF0000"/>
        </w:rPr>
      </w:pPr>
      <w:r>
        <w:rPr>
          <w:b/>
          <w:color w:val="FF0000"/>
        </w:rPr>
      </w:r>
    </w:p>
    <w:p>
      <w:pPr>
        <w:pStyle w:val="Normal"/>
        <w:keepNext w:val="true"/>
        <w:rPr/>
      </w:pPr>
      <w:r>
        <w:rPr/>
        <w:t>By:</w:t>
        <w:tab/>
        <w:t>_____________________________</w:t>
      </w:r>
    </w:p>
    <w:p>
      <w:pPr>
        <w:pStyle w:val="Normal"/>
        <w:keepNext w:val="true"/>
        <w:rPr/>
      </w:pPr>
      <w:r>
        <w:rPr/>
        <w:t>Name:</w:t>
        <w:tab/>
        <w:t>Patricia B. Melcher</w:t>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keepNext w:val="true"/>
        <w:rPr/>
      </w:pPr>
      <w:r>
        <w:rPr/>
        <w:t>Title:</w:t>
        <w:tab/>
        <w:t>President</w:t>
      </w:r>
    </w:p>
    <w:p>
      <w:pPr>
        <w:pStyle w:val="Normal"/>
        <w:keepNext w:val="true"/>
        <w:spacing w:lineRule="exact" w:line="240"/>
        <w:jc w:val="center"/>
        <w:rPr>
          <w:b/>
        </w:rPr>
      </w:pPr>
      <w:r>
        <w:rPr>
          <w:b/>
        </w:rPr>
        <w:t>ANNEX A</w:t>
      </w:r>
    </w:p>
    <w:p>
      <w:pPr>
        <w:pStyle w:val="Normal"/>
        <w:keepNext w:val="true"/>
        <w:jc w:val="center"/>
        <w:rPr>
          <w:b/>
        </w:rPr>
      </w:pPr>
      <w:r>
        <w:rPr>
          <w:b/>
        </w:rPr>
      </w:r>
    </w:p>
    <w:p>
      <w:pPr>
        <w:pStyle w:val="Normal"/>
        <w:keepNext w:val="true"/>
        <w:jc w:val="center"/>
        <w:rPr>
          <w:b/>
        </w:rPr>
      </w:pPr>
      <w:r>
        <w:rPr>
          <w:b/>
        </w:rPr>
        <w:t>U.S. WITHHOLDING TAX</w:t>
      </w:r>
    </w:p>
    <w:p>
      <w:pPr>
        <w:pStyle w:val="Normal"/>
        <w:keepNext w:val="true"/>
        <w:jc w:val="center"/>
        <w:rPr>
          <w:b/>
        </w:rPr>
      </w:pPr>
      <w:r>
        <w:rPr>
          <w:b/>
        </w:rPr>
      </w:r>
    </w:p>
    <w:p>
      <w:pPr>
        <w:pStyle w:val="Normal"/>
        <w:jc w:val="center"/>
        <w:rPr>
          <w:b/>
        </w:rPr>
      </w:pPr>
      <w:r>
        <w:rPr>
          <w:b/>
        </w:rPr>
        <w:t>Party A: Enron North America Corp.</w:t>
      </w:r>
    </w:p>
    <w:p>
      <w:pPr>
        <w:pStyle w:val="Normal"/>
        <w:jc w:val="center"/>
        <w:rPr>
          <w:b/>
          <w:color w:val="FF0000"/>
        </w:rPr>
      </w:pPr>
      <w:r>
        <w:rPr>
          <w:b/>
        </w:rPr>
        <w:t>Party B:  EMP ECHO, L.L.C.</w:t>
      </w:r>
    </w:p>
    <w:p>
      <w:pPr>
        <w:pStyle w:val="Normal"/>
        <w:tabs>
          <w:tab w:val="left" w:pos="720" w:leader="none"/>
          <w:tab w:val="left" w:pos="1080" w:leader="none"/>
        </w:tabs>
        <w:spacing w:lineRule="exact" w:line="480"/>
        <w:jc w:val="both"/>
        <w:rPr>
          <w:b/>
        </w:rPr>
      </w:pPr>
      <w:r>
        <w:rPr>
          <w:b/>
        </w:rPr>
        <w:t>I.</w:t>
        <w:tab/>
        <w:t>Tax Representations.</w:t>
      </w:r>
    </w:p>
    <w:p>
      <w:pPr>
        <w:pStyle w:val="Normal"/>
        <w:spacing w:lineRule="exact" w:line="240" w:before="240" w:after="0"/>
        <w:ind w:hanging="720" w:start="720" w:end="0"/>
        <w:jc w:val="both"/>
        <w:rPr/>
      </w:pPr>
      <w:r>
        <w:rPr>
          <w:b/>
        </w:rPr>
        <w:t>(a)</w:t>
        <w:tab/>
        <w:t xml:space="preserve">Payer Representations.  </w:t>
      </w:r>
      <w:r>
        <w:rPr/>
        <w:t>For the purpose of Section 3(e) of the ISDA Agreement,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rPr>
        <w:t>provided</w:t>
      </w:r>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rPr>
        <w:t>(b)</w:t>
        <w:tab/>
        <w:t>Payee Representations.</w:t>
      </w:r>
      <w:r>
        <w:rPr/>
        <w:t xml:space="preserve">  For the purpose of Section 3(f) of the ISDA Agreement, Party A and Party B make the following representations:</w:t>
      </w:r>
    </w:p>
    <w:p>
      <w:pPr>
        <w:pStyle w:val="Normal"/>
        <w:spacing w:lineRule="exact" w:line="240" w:before="240" w:after="0"/>
        <w:ind w:hanging="720" w:start="900" w:end="0"/>
        <w:jc w:val="both"/>
        <w:rPr/>
      </w:pPr>
      <w:r>
        <w:rPr/>
        <w:t>(i)</w:t>
        <w:tab/>
        <w:t>The following representation applies to Party A:</w:t>
      </w:r>
    </w:p>
    <w:p>
      <w:pPr>
        <w:pStyle w:val="Normal"/>
        <w:spacing w:lineRule="exact" w:line="240" w:before="240" w:after="0"/>
        <w:ind w:start="900" w:end="0"/>
        <w:jc w:val="both"/>
        <w:rPr/>
      </w:pPr>
      <w:r>
        <w:rPr/>
        <w:t>Party A is a corporation organized under the law of the State of Delaware.</w:t>
      </w:r>
    </w:p>
    <w:p>
      <w:pPr>
        <w:pStyle w:val="Normal"/>
        <w:spacing w:lineRule="exact" w:line="240" w:before="240" w:after="0"/>
        <w:ind w:hanging="720" w:start="900" w:end="0"/>
        <w:jc w:val="both"/>
        <w:rPr/>
      </w:pPr>
      <w:r>
        <w:rPr/>
        <w:t>(ii)</w:t>
        <w:tab/>
        <w:t>The following representation applies to Party B:</w:t>
      </w:r>
    </w:p>
    <w:p>
      <w:pPr>
        <w:pStyle w:val="Normal"/>
        <w:spacing w:lineRule="exact" w:line="240" w:before="240" w:after="0"/>
        <w:ind w:start="900" w:end="0"/>
        <w:jc w:val="both"/>
        <w:rPr/>
      </w:pPr>
      <w:r>
        <w:rPr/>
        <w:t>Party B is a limited liability company organized under the law of the State of Delaware</w:t>
      </w:r>
      <w:r>
        <w:rPr>
          <w:color w:val="FF0000"/>
        </w:rPr>
        <w:t>.</w:t>
      </w:r>
    </w:p>
    <w:p>
      <w:pPr>
        <w:pStyle w:val="Normal"/>
        <w:tabs>
          <w:tab w:val="clear" w:pos="720"/>
          <w:tab w:val="left" w:pos="1080" w:leader="none"/>
        </w:tabs>
        <w:spacing w:lineRule="exact" w:line="480"/>
        <w:jc w:val="both"/>
        <w:rPr>
          <w:b/>
        </w:rPr>
      </w:pPr>
      <w:r>
        <w:rPr>
          <w:b/>
        </w:rPr>
        <w:t>II.</w:t>
        <w:tab/>
        <w:t>Agreement to Deliver Documents</w:t>
      </w:r>
    </w:p>
    <w:p>
      <w:pPr>
        <w:pStyle w:val="BodyText"/>
        <w:spacing w:lineRule="exact" w:line="240" w:before="240" w:after="0"/>
        <w:rPr/>
      </w:pPr>
      <w:r>
        <w:rPr/>
        <w:t>For the purpose of Section 4(a) of the ISDA Agreement, the Tax forms, documents, or certificates to be delivered are:</w:t>
      </w:r>
    </w:p>
    <w:p>
      <w:pPr>
        <w:pStyle w:val="Normal"/>
        <w:spacing w:lineRule="exact" w:line="240" w:before="240" w:after="0"/>
        <w:ind w:hanging="720" w:start="1440" w:end="0"/>
        <w:jc w:val="both"/>
        <w:rPr/>
      </w:pPr>
      <w:r>
        <w:rPr/>
        <w:t>(a)</w:t>
        <w:tab/>
        <w:t>Party B agrees to complete (accurately and in a manner reasonably satisfactory to Party A), execute, and deliver to Party A a United States Internal Revenue Form W-9,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rPr>
      </w:pPr>
      <w:r>
        <w:rPr>
          <w:b/>
        </w:rPr>
      </w:r>
    </w:p>
    <w:p>
      <w:pPr>
        <w:sectPr>
          <w:headerReference w:type="default" r:id="rId7"/>
          <w:headerReference w:type="first" r:id="rId8"/>
          <w:footerReference w:type="default" r:id="rId9"/>
          <w:footerReference w:type="first" r:id="rId10"/>
          <w:type w:val="nextPage"/>
          <w:pgSz w:w="12240" w:h="15840"/>
          <w:pgMar w:left="1008" w:right="1008" w:gutter="0" w:header="720" w:top="1008" w:footer="432" w:bottom="1008"/>
          <w:pgNumType w:start="1" w:fmt="decimal"/>
          <w:formProt w:val="false"/>
          <w:textDirection w:val="lrTb"/>
          <w:docGrid w:type="default" w:linePitch="360" w:charSpace="0"/>
        </w:sectPr>
        <w:pStyle w:val="Normal"/>
        <w:spacing w:lineRule="exact" w:line="240"/>
        <w:jc w:val="both"/>
        <w:rPr/>
      </w:pPr>
      <w:r>
        <w:rPr>
          <w:b/>
        </w:rPr>
        <w:t>III.</w:t>
        <w:tab/>
        <w:t xml:space="preserve">Definitions. </w:t>
      </w:r>
      <w:r>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u w:val="single"/>
        </w:rPr>
      </w:pPr>
      <w:r>
        <w:rPr>
          <w:b/>
          <w:u w:val="single"/>
        </w:rPr>
      </w:r>
    </w:p>
    <w:p>
      <w:pPr>
        <w:pStyle w:val="Normal"/>
        <w:jc w:val="center"/>
        <w:rPr>
          <w:b/>
          <w:u w:val="single"/>
        </w:rPr>
      </w:pPr>
      <w:r>
        <w:rPr>
          <w:b/>
          <w:u w:val="single"/>
        </w:rPr>
        <w:t>ANNEX B</w:t>
      </w:r>
    </w:p>
    <w:p>
      <w:pPr>
        <w:pStyle w:val="Normal"/>
        <w:jc w:val="center"/>
        <w:rPr>
          <w:b/>
          <w:u w:val="single"/>
        </w:rPr>
      </w:pPr>
      <w:r>
        <w:rPr>
          <w:b/>
          <w:u w:val="single"/>
        </w:rPr>
      </w:r>
    </w:p>
    <w:p>
      <w:pPr>
        <w:pStyle w:val="Normal"/>
        <w:jc w:val="center"/>
        <w:rPr>
          <w:b/>
        </w:rPr>
      </w:pPr>
      <w:r>
        <w:rPr>
          <w:b/>
        </w:rPr>
        <w:t>CREDIT AND OTHER SPECIAL PROVISIONS</w:t>
      </w:r>
    </w:p>
    <w:p>
      <w:pPr>
        <w:pStyle w:val="Normal"/>
        <w:jc w:val="center"/>
        <w:rPr>
          <w:b/>
        </w:rPr>
      </w:pPr>
      <w:r>
        <w:rPr>
          <w:b/>
        </w:rPr>
      </w:r>
    </w:p>
    <w:p>
      <w:pPr>
        <w:pStyle w:val="Normal"/>
        <w:jc w:val="center"/>
        <w:rPr>
          <w:b/>
          <w:color w:val="000000"/>
        </w:rPr>
      </w:pPr>
      <w:r>
        <w:rPr>
          <w:b/>
          <w:color w:val="000000"/>
        </w:rPr>
        <w:t xml:space="preserve">EMP ECHO, L.L.C. </w:t>
      </w:r>
    </w:p>
    <w:p>
      <w:pPr>
        <w:pStyle w:val="Normal"/>
        <w:jc w:val="center"/>
        <w:rPr>
          <w:b/>
        </w:rPr>
      </w:pPr>
      <w:r>
        <w:rPr>
          <w:b/>
        </w:rPr>
        <w:t>Deal No. ________</w:t>
      </w:r>
    </w:p>
    <w:p>
      <w:pPr>
        <w:pStyle w:val="Normal"/>
        <w:jc w:val="center"/>
        <w:rPr>
          <w:b/>
        </w:rPr>
      </w:pPr>
      <w:r>
        <w:rPr>
          <w:b/>
        </w:rPr>
      </w:r>
    </w:p>
    <w:p>
      <w:pPr>
        <w:pStyle w:val="Normal"/>
        <w:jc w:val="both"/>
        <w:rPr/>
      </w:pPr>
      <w:r>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jc w:val="both"/>
        <w:rPr/>
      </w:pPr>
      <w:r>
        <w:rPr/>
      </w:r>
    </w:p>
    <w:p>
      <w:pPr>
        <w:pStyle w:val="Normal"/>
        <w:spacing w:lineRule="exact" w:line="240" w:before="240" w:after="0"/>
        <w:jc w:val="both"/>
        <w:rPr/>
      </w:pPr>
      <w:r>
        <w:rPr/>
        <w:t>1.</w:t>
        <w:tab/>
      </w:r>
      <w:r>
        <w:rPr>
          <w:u w:val="single"/>
        </w:rPr>
        <w:t>Additional Events of Default</w:t>
      </w:r>
      <w:r>
        <w:rPr/>
        <w:t>. The following will constitute an additional Event of Default for purposes of Section 5(a)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b/>
          <w:u w:val="single"/>
        </w:rPr>
      </w:r>
    </w:p>
    <w:p>
      <w:pPr>
        <w:pStyle w:val="Normal"/>
        <w:ind w:hanging="720" w:start="360" w:end="0"/>
        <w:jc w:val="both"/>
        <w:rPr/>
      </w:pPr>
      <w:r>
        <w:rPr/>
        <w:tab/>
        <w:t>(i)</w:t>
        <w:tab/>
        <w:t>Cross Default:</w:t>
      </w:r>
    </w:p>
    <w:p>
      <w:pPr>
        <w:pStyle w:val="Normal"/>
        <w:ind w:hanging="720" w:start="720" w:end="0"/>
        <w:jc w:val="both"/>
        <w:rPr/>
      </w:pPr>
      <w:r>
        <w:rPr/>
      </w:r>
    </w:p>
    <w:p>
      <w:pPr>
        <w:pStyle w:val="Normal"/>
        <w:ind w:start="720" w:end="0"/>
        <w:jc w:val="both"/>
        <w:rPr/>
      </w:pPr>
      <w:r>
        <w:rPr/>
        <w:t>The “Cross Default provisions of Section 5(a)(vi) of the ISDA Agreement will apply to Counterparty and will apply to ENA.  Specified Indebtedness will have the meaning specified in Section 14 of the ISDA Agreement.  Threshold Amount means: with respect to ENA, U.S. $100,000,000 (or its equivalent in another currency); and with respect to Party B, U.S. $500,000 (or its equivalent in another currency).</w:t>
      </w:r>
    </w:p>
    <w:p>
      <w:pPr>
        <w:pStyle w:val="Normal"/>
        <w:ind w:start="720" w:end="0"/>
        <w:jc w:val="both"/>
        <w:rPr/>
      </w:pPr>
      <w:r>
        <w:rPr/>
      </w:r>
    </w:p>
    <w:p>
      <w:pPr>
        <w:pStyle w:val="Normal"/>
        <w:ind w:start="720" w:end="0"/>
        <w:jc w:val="both"/>
        <w:rPr/>
      </w:pPr>
      <w:r>
        <w:rPr/>
      </w:r>
      <w:r>
        <w:br w:type="page"/>
      </w:r>
    </w:p>
    <w:p>
      <w:pPr>
        <w:pStyle w:val="Normal"/>
        <w:ind w:start="720" w:end="0"/>
        <w:jc w:val="center"/>
        <w:rPr/>
      </w:pPr>
      <w:r>
        <w:rPr/>
        <w:t>Exhibit I</w:t>
      </w:r>
    </w:p>
    <w:p>
      <w:pPr>
        <w:pStyle w:val="Normal"/>
        <w:ind w:start="720" w:end="0"/>
        <w:jc w:val="center"/>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4" w:space="0" w:color="000000"/>
              <w:start w:val="single" w:sz="4" w:space="0" w:color="000000"/>
              <w:bottom w:val="single" w:sz="4" w:space="0" w:color="000000"/>
              <w:end w:val="single" w:sz="4" w:space="0" w:color="000000"/>
            </w:tcBorders>
          </w:tcPr>
          <w:p>
            <w:pPr>
              <w:pStyle w:val="Index1"/>
              <w:rPr>
                <w:rFonts w:ascii="Times New Roman" w:hAnsi="Times New Roman" w:cs="Times New Roman"/>
              </w:rPr>
            </w:pPr>
            <w:r>
              <w:rPr>
                <w:rFonts w:cs="Times New Roman" w:ascii="Times New Roman" w:hAnsi="Times New Roman"/>
              </w:rPr>
              <w:t>Fixed Rate Payer and Floating Rate Payer Calculation Period</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Notional Amount</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March 31, 2000-June 30, 2000</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4,457,163.00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June 30, 2000-October 2, 2000</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4,457,163.00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October 2, 2000-January 2, 2001</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4,439,719.00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January 2, 2001-April 2, 2001</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4,323,793.00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April 2, 2001-July 2, 2001</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4,203,558.00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July 2, 2001-October 1, 2001</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4,081,702.00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October 1, 2001-December 31, 2001</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3,957,185.00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December 31, 2001-April 2, 2002</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3,830,868.00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April 2, 2002-July 1, 2002</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3,699,093.00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July 1, 2002-September 30, 2002</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3,565,361.00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September 2, 2002-December 31, 2002</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3,429,568.00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December 31, 2002-March 31, 2003</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3,291,606.00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March 31, 2003-June 30, 2003</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3,148,305.00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June 30, 2003-September 30, 2003</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3,002,672.00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September 30, 2003-December 31, 2003</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2,854,590.00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December 31, 2003-March 31, 2004</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2,705,255.00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March 31, 2004-June 30, 2004</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2,549,890.00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June 30, 2004-September 30, 2004</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2,391,177.00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September 30, 2004-December 31, 2004</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2,230,706.00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December 31, 2004-March 31, 2005</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2,066,671.00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March 31, 2005-June 30, 2005</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1,898,148.00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June 30, 2005-September 30, 2005</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1,726,826.00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September 30, 2005-January 3, 2006</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1,551,683.00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January 3, 2006-March 31, 2006</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1,372,280.00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March 31, 2006-June 30, 2006</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1,188,592.00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June 30, 2006-October 2, 2006</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1,001,445.00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October 2, 2006-January 2, 2007</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809,891.00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January 2, 2007-April 2, 2007</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614,109.00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April 2, 2007-July 2, 2007</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413,721.00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July 2, 2007-October 1, 2007</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209,099.00</w:t>
            </w:r>
          </w:p>
        </w:tc>
      </w:tr>
    </w:tbl>
    <w:p>
      <w:pPr>
        <w:pStyle w:val="Normal"/>
        <w:ind w:start="720" w:end="0"/>
        <w:rPr/>
      </w:pPr>
      <w:r>
        <w:rPr/>
      </w:r>
    </w:p>
    <w:p>
      <w:pPr>
        <w:pStyle w:val="Normal"/>
        <w:ind w:start="720" w:end="0"/>
        <w:jc w:val="both"/>
        <w:rPr/>
      </w:pPr>
      <w:r>
        <w:rPr/>
      </w:r>
    </w:p>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8"/>
      </w:rPr>
    </w:pPr>
    <w:r>
      <w:rPr>
        <w:sz w:val="18"/>
      </w:rPr>
      <w:t>M255739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8"/>
      </w:rPr>
    </w:pPr>
    <w:r>
      <w:rPr>
        <w:sz w:val="18"/>
      </w:rPr>
      <w:t>M255739</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8"/>
      </w:rPr>
    </w:pPr>
    <w:r>
      <w:rPr>
        <w:sz w:val="18"/>
      </w:rPr>
      <w:t>M255739</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3"/>
      <w:numFmt w:val="decimal"/>
      <w:lvlText w:val="%1."/>
      <w:lvlJc w:val="start"/>
      <w:pPr>
        <w:tabs>
          <w:tab w:val="num" w:pos="720"/>
        </w:tabs>
        <w:ind w:start="720" w:hanging="720"/>
      </w:pPr>
      <w:rPr>
        <w:u w:val="none"/>
        <w:b w:val="false"/>
      </w:rPr>
    </w:lvl>
  </w:abstractNum>
  <w:abstractNum w:abstractNumId="3">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character" w:styleId="WW8Num1z0">
    <w:name w:val="WW8Num1z0"/>
    <w:qFormat/>
    <w:rPr/>
  </w:style>
  <w:style w:type="character" w:styleId="WW8Num2z0">
    <w:name w:val="WW8Num2z0"/>
    <w:qFormat/>
    <w:rPr>
      <w:b w:val="false"/>
      <w:u w:val="non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2000-03-30T20:19:00Z</dcterms:created>
  <dc:creator>mheard</dc:creator>
  <dc:description/>
  <dc:language>en-CA</dc:language>
  <cp:lastModifiedBy>laurel adams</cp:lastModifiedBy>
  <cp:lastPrinted>2000-03-30T16:41:00Z</cp:lastPrinted>
  <dcterms:modified xsi:type="dcterms:W3CDTF">2000-03-31T16:19:00Z</dcterms:modified>
  <cp:revision>5</cp:revision>
  <dc:subject/>
  <dc:title>“DEEMED ISDA” CONFIRMATION</dc:title>
</cp:coreProperties>
</file>