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rPr/>
      </w:pPr>
      <w:r>
        <w:rPr/>
        <w:tab/>
        <w:tab/>
      </w:r>
      <w:r>
        <w:rPr>
          <w:b/>
        </w:rPr>
        <w:t>Enron Power Marketing, Inc.</w:t>
      </w:r>
    </w:p>
    <w:p>
      <w:pPr>
        <w:pStyle w:val="Normal"/>
        <w:tabs>
          <w:tab w:val="clear" w:pos="720"/>
          <w:tab w:val="left" w:pos="990" w:leader="none"/>
          <w:tab w:val="left" w:pos="5760" w:leader="none"/>
        </w:tabs>
        <w:rPr/>
      </w:pPr>
      <w:r>
        <w:rPr>
          <w:b/>
        </w:rPr>
        <w:tab/>
        <w:tab/>
      </w:r>
      <w:r>
        <w:rPr/>
        <w:t>P.O. Box 4428</w:t>
      </w:r>
    </w:p>
    <w:p>
      <w:pPr>
        <w:pStyle w:val="Normal"/>
        <w:tabs>
          <w:tab w:val="clear" w:pos="720"/>
          <w:tab w:val="left" w:pos="990" w:leader="none"/>
          <w:tab w:val="left" w:pos="5760" w:leader="none"/>
        </w:tabs>
        <w:rPr/>
      </w:pPr>
      <w:r>
        <w:rPr/>
        <w:tab/>
        <w:tab/>
        <w:t>Houston, Texas 77210</w:t>
      </w:r>
    </w:p>
    <w:p>
      <w:pPr>
        <w:pStyle w:val="Normal"/>
        <w:tabs>
          <w:tab w:val="clear" w:pos="720"/>
          <w:tab w:val="left" w:pos="990" w:leader="none"/>
          <w:tab w:val="left" w:pos="5760" w:leader="none"/>
        </w:tabs>
        <w:rPr/>
      </w:pPr>
      <w:r>
        <w:rPr/>
        <w:tab/>
        <w:tab/>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t>VIA FACSIMILE</w:t>
      </w:r>
    </w:p>
    <w:p>
      <w:pPr>
        <w:pStyle w:val="Normal"/>
        <w:tabs>
          <w:tab w:val="clear" w:pos="720"/>
          <w:tab w:val="left" w:pos="990" w:leader="none"/>
          <w:tab w:val="left" w:pos="5760" w:leader="none"/>
        </w:tabs>
        <w:rPr/>
      </w:pPr>
      <w:r>
        <w:rPr/>
        <w:t>(415) 973-9176</w:t>
      </w:r>
    </w:p>
    <w:p>
      <w:pPr>
        <w:pStyle w:val="Normal"/>
        <w:tabs>
          <w:tab w:val="clear" w:pos="720"/>
          <w:tab w:val="left" w:pos="990" w:leader="none"/>
          <w:tab w:val="left" w:pos="5760" w:leader="none"/>
        </w:tabs>
        <w:jc w:val="end"/>
        <w:rPr/>
      </w:pPr>
      <w:r>
        <w:rPr/>
        <w:t>April __, 2001</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t>Pacific Gas &amp; Electric Company</w:t>
      </w:r>
    </w:p>
    <w:p>
      <w:pPr>
        <w:pStyle w:val="Normal"/>
        <w:tabs>
          <w:tab w:val="clear" w:pos="720"/>
          <w:tab w:val="left" w:pos="990" w:leader="none"/>
          <w:tab w:val="left" w:pos="5760" w:leader="none"/>
        </w:tabs>
        <w:rPr/>
      </w:pPr>
      <w:r>
        <w:rPr/>
        <w:t>77 Beale Street</w:t>
      </w:r>
    </w:p>
    <w:p>
      <w:pPr>
        <w:pStyle w:val="Normal"/>
        <w:tabs>
          <w:tab w:val="clear" w:pos="720"/>
          <w:tab w:val="left" w:pos="990" w:leader="none"/>
          <w:tab w:val="left" w:pos="5760" w:leader="none"/>
        </w:tabs>
        <w:rPr/>
      </w:pPr>
      <w:r>
        <w:rPr/>
        <w:t>San Francisco, CA  94177</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t>Attention:  Contract Administration</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Power Purchase and Sale Agreement between Pacific Gas &amp; Electric Company ("PG&amp;E") and Enron Power Marketing, Inc. ("EPMI") dated as of  October 9, 2000 (the "Master Agreement").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Sirs: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clear" w:pos="720"/>
          <w:tab w:val="left" w:pos="990" w:leader="none"/>
          <w:tab w:val="left" w:pos="5760" w:leader="none"/>
        </w:tabs>
        <w:rPr/>
      </w:pPr>
      <w:r>
        <w:rPr/>
        <w:tab/>
      </w:r>
    </w:p>
    <w:p>
      <w:pPr>
        <w:pStyle w:val="Normal"/>
        <w:tabs>
          <w:tab w:val="left" w:pos="720" w:leader="none"/>
          <w:tab w:val="left" w:pos="1440" w:leader="none"/>
          <w:tab w:val="left" w:pos="1800" w:leader="none"/>
          <w:tab w:val="left" w:pos="5760" w:leader="none"/>
        </w:tabs>
        <w:ind w:hanging="1800" w:start="1800" w:end="0"/>
        <w:rPr/>
      </w:pPr>
      <w:r>
        <w:rPr/>
        <w:tab/>
        <w:tab/>
        <w:t>(a)  the above referenced filing constitutes the Event of Default pursuant to Section 5.1 of the Master Agreement; and</w:t>
      </w:r>
    </w:p>
    <w:p>
      <w:pPr>
        <w:pStyle w:val="Normal"/>
        <w:tabs>
          <w:tab w:val="clear" w:pos="720"/>
          <w:tab w:val="left" w:pos="990" w:leader="none"/>
          <w:tab w:val="left" w:pos="5760" w:leader="none"/>
        </w:tabs>
        <w:rPr/>
      </w:pPr>
      <w:r>
        <w:rPr/>
      </w:r>
    </w:p>
    <w:p>
      <w:pPr>
        <w:pStyle w:val="Normal"/>
        <w:tabs>
          <w:tab w:val="left" w:pos="720" w:leader="none"/>
          <w:tab w:val="left" w:pos="1440" w:leader="none"/>
          <w:tab w:val="left" w:pos="1800" w:leader="none"/>
          <w:tab w:val="left" w:pos="5760" w:leader="none"/>
        </w:tabs>
        <w:ind w:hanging="1800" w:start="1800" w:end="0"/>
        <w:rPr/>
      </w:pPr>
      <w:r>
        <w:rPr/>
        <w:tab/>
        <w:tab/>
        <w:t xml:space="preserve">(b)  EPMI hereby designates April __, 2001 as an Early Termination Date pursuant to Section 5.2 of the Master Agreement as to all transactions under the Master Agreement.  </w:t>
      </w:r>
    </w:p>
    <w:p>
      <w:pPr>
        <w:pStyle w:val="Normal"/>
        <w:tabs>
          <w:tab w:val="clear" w:pos="720"/>
          <w:tab w:val="left" w:pos="990" w:leader="none"/>
          <w:tab w:val="left" w:pos="5760" w:leader="none"/>
        </w:tabs>
        <w:rPr/>
      </w:pPr>
      <w:r>
        <w:rPr/>
      </w:r>
    </w:p>
    <w:p>
      <w:pPr>
        <w:pStyle w:val="Normal"/>
        <w:tabs>
          <w:tab w:val="left" w:pos="720" w:leader="none"/>
        </w:tabs>
        <w:jc w:val="both"/>
        <w:rPr/>
      </w:pPr>
      <w:r>
        <w:rPr/>
        <w:tab/>
        <w:t>This notice constitutes a termination notice of a forward contract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rPr/>
      </w:pPr>
      <w:r>
        <w:rPr/>
      </w:r>
    </w:p>
    <w:p>
      <w:pPr>
        <w:pStyle w:val="Normal"/>
        <w:tabs>
          <w:tab w:val="left" w:pos="720" w:leader="none"/>
          <w:tab w:val="left" w:pos="5760" w:leader="none"/>
        </w:tabs>
        <w:rPr/>
      </w:pPr>
      <w:r>
        <w:rPr/>
        <w:tab/>
        <w:t>EPMI preserves all rights of setoff pursuant to Section 5.6 of the Master Agreement and otherwise existing law.</w:t>
      </w:r>
    </w:p>
    <w:p>
      <w:pPr>
        <w:pStyle w:val="Normal"/>
        <w:tabs>
          <w:tab w:val="clear" w:pos="720"/>
          <w:tab w:val="left" w:pos="990" w:leader="none"/>
          <w:tab w:val="left" w:pos="5760" w:leader="none"/>
        </w:tabs>
        <w:rPr/>
      </w:pPr>
      <w:r>
        <w:rPr/>
      </w:r>
    </w:p>
    <w:p>
      <w:pPr>
        <w:pStyle w:val="Normal"/>
        <w:tabs>
          <w:tab w:val="left" w:pos="720" w:leader="none"/>
          <w:tab w:val="left" w:pos="5760" w:leader="none"/>
        </w:tabs>
        <w:rPr/>
      </w:pPr>
      <w:r>
        <w:rPr/>
        <w:tab/>
        <w:t>An accounting of Settlement Amounts owed to or owing by PG&amp;E pursuant to Section 5.4 of the Master Agreement and any setoff exercised by EPMI will be provided to you in due course.</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rPr/>
      </w:pPr>
      <w:r>
        <w:rPr/>
      </w:r>
    </w:p>
    <w:p>
      <w:pPr>
        <w:pStyle w:val="Normal"/>
        <w:tabs>
          <w:tab w:val="clear" w:pos="720"/>
          <w:tab w:val="left" w:pos="990" w:leader="none"/>
          <w:tab w:val="left" w:pos="4320" w:leader="none"/>
        </w:tabs>
        <w:rPr/>
      </w:pPr>
      <w:r>
        <w:rPr/>
      </w:r>
    </w:p>
    <w:p>
      <w:pPr>
        <w:pStyle w:val="Normal"/>
        <w:tabs>
          <w:tab w:val="clear" w:pos="720"/>
          <w:tab w:val="left" w:pos="990" w:leader="none"/>
          <w:tab w:val="left" w:pos="3600" w:leader="none"/>
        </w:tabs>
        <w:rPr/>
      </w:pPr>
      <w:r>
        <w:rPr/>
        <w:tab/>
        <w:tab/>
        <w:t>Enron Power Marketing, Inc.</w:t>
      </w:r>
    </w:p>
    <w:p>
      <w:pPr>
        <w:pStyle w:val="Normal"/>
        <w:tabs>
          <w:tab w:val="clear" w:pos="720"/>
          <w:tab w:val="left" w:pos="990" w:leader="none"/>
          <w:tab w:val="left" w:pos="3600" w:leader="none"/>
          <w:tab w:val="left" w:pos="4320" w:leader="none"/>
        </w:tabs>
        <w:rPr/>
      </w:pPr>
      <w:r>
        <w:rPr/>
      </w:r>
    </w:p>
    <w:p>
      <w:pPr>
        <w:pStyle w:val="Normal"/>
        <w:tabs>
          <w:tab w:val="clear" w:pos="720"/>
          <w:tab w:val="left" w:pos="990" w:leader="none"/>
          <w:tab w:val="left" w:pos="3600" w:leader="none"/>
          <w:tab w:val="left" w:pos="4320" w:leader="none"/>
        </w:tabs>
        <w:rPr/>
      </w:pPr>
      <w:r>
        <w:rPr/>
        <w:tab/>
        <w:tab/>
        <w:t>______________________________________</w:t>
      </w:r>
    </w:p>
    <w:p>
      <w:pPr>
        <w:pStyle w:val="Normal"/>
        <w:tabs>
          <w:tab w:val="clear" w:pos="720"/>
          <w:tab w:val="left" w:pos="990" w:leader="none"/>
          <w:tab w:val="left" w:pos="3600" w:leader="none"/>
          <w:tab w:val="left" w:pos="4320" w:leader="none"/>
        </w:tabs>
        <w:rPr/>
      </w:pPr>
      <w:r>
        <w:rPr/>
        <w:tab/>
        <w:tab/>
        <w:t xml:space="preserve">Per:  </w:t>
      </w:r>
    </w:p>
    <w:p>
      <w:pPr>
        <w:pStyle w:val="Normal"/>
        <w:tabs>
          <w:tab w:val="clear" w:pos="720"/>
          <w:tab w:val="left" w:pos="990" w:leader="none"/>
          <w:tab w:val="left" w:pos="3600" w:leader="none"/>
          <w:tab w:val="left" w:pos="4320" w:leader="none"/>
        </w:tabs>
        <w:rPr/>
      </w:pPr>
      <w:r>
        <w:rPr/>
        <w:tab/>
        <w:tab/>
        <w:t xml:space="preserve">Title:  </w:t>
      </w:r>
    </w:p>
    <w:p>
      <w:pPr>
        <w:pStyle w:val="Normal"/>
        <w:tabs>
          <w:tab w:val="clear" w:pos="720"/>
          <w:tab w:val="left" w:pos="990" w:leader="none"/>
          <w:tab w:val="left" w:pos="3600" w:leader="none"/>
          <w:tab w:val="left" w:pos="4320" w:leader="none"/>
        </w:tabs>
        <w:rPr/>
      </w:pPr>
      <w:r>
        <w:rPr/>
      </w:r>
    </w:p>
    <w:p>
      <w:pPr>
        <w:pStyle w:val="Normal"/>
        <w:tabs>
          <w:tab w:val="clear" w:pos="720"/>
          <w:tab w:val="left" w:pos="990" w:leader="none"/>
          <w:tab w:val="left" w:pos="3600" w:leader="none"/>
          <w:tab w:val="left" w:pos="4320" w:leader="none"/>
        </w:tabs>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rPr/>
      </w:pPr>
      <w:r>
        <w:rPr/>
      </w:r>
    </w:p>
    <w:p>
      <w:pPr>
        <w:pStyle w:val="Normal"/>
        <w:tabs>
          <w:tab w:val="clear" w:pos="720"/>
          <w:tab w:val="left" w:pos="990" w:leader="none"/>
          <w:tab w:val="left" w:pos="3600" w:leader="none"/>
          <w:tab w:val="left" w:pos="4320" w:leader="none"/>
        </w:tabs>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HN46638.1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46638.1 02618 00125 4/8/01 3:46:32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__,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2001-04-08T01:34:00Z</dcterms:created>
  <dc:creator>LeBoeuf, Lamb, Greene &amp; MacRae, L.L.P.</dc:creator>
  <dc:description/>
  <cp:keywords>HN 46638.1 02618 00125 4/8/01 3:46:32 PM</cp:keywords>
  <dc:language>en-CA</dc:language>
  <cp:lastModifiedBy>LeBoeuf, Lamb, Greene &amp; MacRae, L.L.P.</cp:lastModifiedBy>
  <cp:lastPrinted>2001-04-08T15:46:00Z</cp:lastPrinted>
  <dcterms:modified xsi:type="dcterms:W3CDTF">2001-04-08T18:17:00Z</dcterms:modified>
  <cp:revision>16</cp:revision>
  <dc:subject/>
  <dc:title>Heading 1</dc:title>
</cp:coreProperties>
</file>