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EXHIBIT C </w:t>
      </w:r>
    </w:p>
    <w:p>
      <w:pPr>
        <w:pStyle w:val="Heading"/>
        <w:rPr/>
      </w:pPr>
      <w:r>
        <w:rPr/>
      </w:r>
    </w:p>
    <w:p>
      <w:pPr>
        <w:pStyle w:val="Heading"/>
        <w:rPr/>
      </w:pPr>
      <w:r>
        <w:rPr/>
        <w:t>ENERGY MANAGEMENT CRITERIA</w:t>
      </w:r>
    </w:p>
    <w:p>
      <w:pPr>
        <w:pStyle w:val="Normal"/>
        <w:rPr>
          <w:b/>
        </w:rPr>
      </w:pPr>
      <w:r>
        <w:rPr>
          <w:b/>
        </w:rPr>
      </w:r>
    </w:p>
    <w:p>
      <w:pPr>
        <w:pStyle w:val="Normal"/>
        <w:rPr>
          <w:b/>
        </w:rPr>
      </w:pPr>
      <w:r>
        <w:rPr>
          <w:b/>
        </w:rPr>
      </w:r>
    </w:p>
    <w:p>
      <w:pPr>
        <w:pStyle w:val="Normal"/>
        <w:numPr>
          <w:ilvl w:val="0"/>
          <w:numId w:val="7"/>
        </w:numPr>
        <w:tabs>
          <w:tab w:val="clear" w:pos="720"/>
        </w:tabs>
        <w:rPr/>
      </w:pPr>
      <w:r>
        <w:rPr>
          <w:u w:val="single"/>
        </w:rPr>
        <w:t>Defined Terms</w:t>
      </w:r>
      <w:r>
        <w:rPr/>
        <w:t>.  As used in this Exhibit, capitalized terms that are not defined in this Exhibit shall have the meanings ascribed to such terms in the Credit Agreement.  In addition, the following terms shall have the meanings specified below:</w:t>
      </w:r>
    </w:p>
    <w:p>
      <w:pPr>
        <w:pStyle w:val="FootnoteText"/>
        <w:rPr/>
      </w:pPr>
      <w:r>
        <w:rPr/>
      </w:r>
    </w:p>
    <w:p>
      <w:pPr>
        <w:pStyle w:val="FootnoteText"/>
        <w:ind w:start="720" w:end="0"/>
        <w:rPr/>
      </w:pPr>
      <w:r>
        <w:rPr/>
        <w:t>"</w:t>
      </w:r>
      <w:r>
        <w:rPr>
          <w:u w:val="single"/>
        </w:rPr>
        <w:t>Applicable Index Price</w:t>
      </w:r>
      <w:r>
        <w:rPr/>
        <w:t>" means</w:t>
      </w:r>
    </w:p>
    <w:p>
      <w:pPr>
        <w:pStyle w:val="FootnoteText"/>
        <w:ind w:start="720" w:end="0"/>
        <w:rPr/>
      </w:pPr>
      <w:r>
        <w:rPr/>
      </w:r>
    </w:p>
    <w:p>
      <w:pPr>
        <w:pStyle w:val="FootnoteText"/>
        <w:numPr>
          <w:ilvl w:val="0"/>
          <w:numId w:val="8"/>
        </w:numPr>
        <w:tabs>
          <w:tab w:val="clear" w:pos="720"/>
          <w:tab w:val="left" w:pos="2160" w:leader="none"/>
        </w:tabs>
        <w:ind w:firstLine="720" w:start="720" w:end="0"/>
        <w:rPr/>
      </w:pPr>
      <w:r>
        <w:rPr/>
        <w:t xml:space="preserve">For Power, the relevant index is the "Weighted Average Index" under "Trades for Standard 16-Hour Daily Products" at the Entergy Delivery Point or such other index as selected by Cottonwood Energy and approved by the Technical Committee as reported in the </w:t>
      </w:r>
      <w:r>
        <w:rPr>
          <w:i/>
        </w:rPr>
        <w:t>Megawatt Daily</w:t>
      </w:r>
      <w:r>
        <w:rPr/>
        <w:t>, or such other publication as selected by Cottonwood Energy and approved by the Technical Committee, on the day of calculation.</w:t>
      </w:r>
    </w:p>
    <w:p>
      <w:pPr>
        <w:pStyle w:val="FootnoteText"/>
        <w:ind w:start="720" w:end="0"/>
        <w:rPr/>
      </w:pPr>
      <w:r>
        <w:rPr/>
      </w:r>
    </w:p>
    <w:p>
      <w:pPr>
        <w:pStyle w:val="FootnoteText"/>
        <w:numPr>
          <w:ilvl w:val="0"/>
          <w:numId w:val="6"/>
        </w:numPr>
        <w:tabs>
          <w:tab w:val="clear" w:pos="720"/>
          <w:tab w:val="left" w:pos="2160" w:leader="none"/>
        </w:tabs>
        <w:ind w:firstLine="720" w:start="720" w:end="0"/>
        <w:rPr/>
      </w:pPr>
      <w:r>
        <w:rPr/>
        <w:t xml:space="preserve">For Gas, the relevant index is the "Common" price for Henry Hub or such other index as selected by Cottonwood Energy and approved by the Technical Committee as reported in the </w:t>
      </w:r>
      <w:r>
        <w:rPr>
          <w:i/>
        </w:rPr>
        <w:t>Gas Daily</w:t>
      </w:r>
      <w:r>
        <w:rPr/>
        <w:t>, or such other publication as selected by Cottonwood Energy and approved by the Technical Committee, for the transaction date immediately prior to the date of calculation.</w:t>
      </w:r>
    </w:p>
    <w:p>
      <w:pPr>
        <w:pStyle w:val="FootnoteText"/>
        <w:rPr/>
      </w:pPr>
      <w:r>
        <w:rPr/>
      </w:r>
    </w:p>
    <w:p>
      <w:pPr>
        <w:pStyle w:val="FootnoteText"/>
        <w:ind w:firstLine="720" w:end="0"/>
        <w:rPr/>
      </w:pPr>
      <w:r>
        <w:rPr/>
        <w:t>"</w:t>
      </w:r>
      <w:r>
        <w:rPr>
          <w:u w:val="single"/>
        </w:rPr>
        <w:t>Anticipated Train Substantial Completion Date</w:t>
      </w:r>
      <w:r>
        <w:rPr/>
        <w:t>" means, with respect to each Train, the date determined by Cottonwood Energy and approved by the Independent Engineer as the anticipated date on which Train Substantial Completion shall occur with respect to such Train as contemplated in Section 11.1 of the EPC Agreement.</w:t>
      </w:r>
    </w:p>
    <w:p>
      <w:pPr>
        <w:pStyle w:val="FootnoteText"/>
        <w:rPr/>
      </w:pPr>
      <w:r>
        <w:rPr/>
      </w:r>
    </w:p>
    <w:p>
      <w:pPr>
        <w:pStyle w:val="FootnoteText"/>
        <w:ind w:firstLine="720" w:end="0"/>
        <w:rPr/>
      </w:pPr>
      <w:r>
        <w:rPr/>
        <w:t>"</w:t>
      </w:r>
      <w:r>
        <w:rPr>
          <w:u w:val="single"/>
        </w:rPr>
        <w:t>Approved Entities</w:t>
      </w:r>
      <w:r>
        <w:rPr/>
        <w:t>" means the (i) the Coral Energy Holding, L.P., Enron Corp., Entergy Louisiana, Inc., El Paso Energy Company and Dynegy Holdings Inc., if such entities are rated at least BBB- by S&amp;P (to the extent rated) and Baa3 by Moody's (to the extent rated); (ii) any of their respective Affiliates whose obligations are guaranteed by any of such entities; and (iii) other entities approved the Technical Committee in connection with the approval of the Annual Operating Budget and at other times reasonably requested by either Cottonwood Energy or the Technical Committee.</w:t>
      </w:r>
    </w:p>
    <w:p>
      <w:pPr>
        <w:pStyle w:val="FootnoteText"/>
        <w:rPr/>
      </w:pPr>
      <w:r>
        <w:rPr/>
      </w:r>
    </w:p>
    <w:p>
      <w:pPr>
        <w:pStyle w:val="FootnoteText"/>
        <w:ind w:firstLine="720" w:end="0"/>
        <w:rPr/>
      </w:pPr>
      <w:r>
        <w:rPr/>
        <w:t>"</w:t>
      </w:r>
      <w:r>
        <w:rPr>
          <w:u w:val="single"/>
        </w:rPr>
        <w:t>Below Investment Grade Rating</w:t>
      </w:r>
      <w:r>
        <w:rPr/>
        <w:t>" means, with respect to any counterparty, a rating of the long-term unsecured debt of such counterparty if lower than BBB- by S&amp;P (if rated by S&amp;P) and Baa3 by Moody's (if rated by Moody’s).</w:t>
      </w:r>
    </w:p>
    <w:p>
      <w:pPr>
        <w:pStyle w:val="FootnoteText"/>
        <w:rPr/>
      </w:pPr>
      <w:r>
        <w:rPr/>
      </w:r>
    </w:p>
    <w:p>
      <w:pPr>
        <w:pStyle w:val="FootnoteText"/>
        <w:ind w:firstLine="720" w:end="0"/>
        <w:rPr/>
      </w:pPr>
      <w:r>
        <w:rPr/>
        <w:t>"</w:t>
      </w:r>
      <w:r>
        <w:rPr>
          <w:u w:val="single"/>
        </w:rPr>
        <w:t>Calculated Exposure</w:t>
      </w:r>
      <w:r>
        <w:rPr/>
        <w:t>" means, on any day, with respect to any contract for the sale or purchase of Gas or Power or any Financial Instrument, the sum of (without duplication) (i) amount payable by the counterparty to Owner under such contract if such contract were terminated on such day as a result of the failure of such counterparty to perform under such contract and (ii) any accounts payable by such counterparty to Owner under such contracts as of such date.</w:t>
      </w:r>
    </w:p>
    <w:p>
      <w:pPr>
        <w:pStyle w:val="FootnoteText"/>
        <w:rPr/>
      </w:pPr>
      <w:r>
        <w:rPr/>
      </w:r>
    </w:p>
    <w:p>
      <w:pPr>
        <w:pStyle w:val="FootnoteText"/>
        <w:ind w:firstLine="720" w:end="0"/>
        <w:rPr/>
      </w:pPr>
      <w:r>
        <w:rPr/>
        <w:t>"</w:t>
      </w:r>
      <w:r>
        <w:rPr>
          <w:u w:val="single"/>
        </w:rPr>
        <w:t>Capacity of the Project</w:t>
      </w:r>
      <w:r>
        <w:rPr/>
        <w:t xml:space="preserve">" means, during any period, </w:t>
      </w:r>
    </w:p>
    <w:p>
      <w:pPr>
        <w:pStyle w:val="FootnoteText"/>
        <w:ind w:firstLine="720" w:end="0"/>
        <w:rPr/>
      </w:pPr>
      <w:r>
        <w:rPr/>
      </w:r>
    </w:p>
    <w:p>
      <w:pPr>
        <w:pStyle w:val="FootnoteText"/>
        <w:numPr>
          <w:ilvl w:val="0"/>
          <w:numId w:val="9"/>
        </w:numPr>
        <w:tabs>
          <w:tab w:val="clear" w:pos="720"/>
          <w:tab w:val="left" w:pos="2160" w:leader="none"/>
        </w:tabs>
        <w:ind w:firstLine="720" w:start="720" w:end="0"/>
        <w:rPr/>
      </w:pPr>
      <w:r>
        <w:rPr/>
        <w:t xml:space="preserve">prior to the effective date of the first Annual Operating Budget, the sum of (x) the electrical output during such period of each of the Trains that have achieved Train Substantial Completion as demonstrated in the Performance Tests for such Trains </w:t>
      </w:r>
      <w:r>
        <w:rPr>
          <w:i/>
        </w:rPr>
        <w:t>plus</w:t>
      </w:r>
      <w:r>
        <w:rPr/>
        <w:t xml:space="preserve"> (y) the Net Train Electrical Output (Guaranteed) during such period for any Train remaining to be completed under the EPC Agreement; and</w:t>
      </w:r>
    </w:p>
    <w:p>
      <w:pPr>
        <w:pStyle w:val="FootnoteText"/>
        <w:ind w:start="720" w:end="0"/>
        <w:rPr/>
      </w:pPr>
      <w:r>
        <w:rPr/>
      </w:r>
    </w:p>
    <w:p>
      <w:pPr>
        <w:pStyle w:val="FootnoteText"/>
        <w:numPr>
          <w:ilvl w:val="0"/>
          <w:numId w:val="5"/>
        </w:numPr>
        <w:tabs>
          <w:tab w:val="clear" w:pos="720"/>
          <w:tab w:val="left" w:pos="2160" w:leader="none"/>
        </w:tabs>
        <w:ind w:firstLine="720" w:start="720" w:end="0"/>
        <w:rPr/>
      </w:pPr>
      <w:r>
        <w:rPr/>
        <w:t>on and after the effective date of the first Annual Operating Budget, the aggregate electrical output of each of the Trains in the Project, as such electrical output is determined by Cottonwood Energy for each such Train and approved by the Technical Committee in consultation with the Independent Engineer in conjunction with the preparation of such Annual Operating Budget.</w:t>
      </w:r>
    </w:p>
    <w:p>
      <w:pPr>
        <w:pStyle w:val="FootnoteText"/>
        <w:ind w:firstLine="720" w:end="0"/>
        <w:rPr/>
      </w:pPr>
      <w:r>
        <w:rPr/>
      </w:r>
    </w:p>
    <w:p>
      <w:pPr>
        <w:pStyle w:val="Normal"/>
        <w:ind w:firstLine="720" w:end="0"/>
        <w:rPr/>
      </w:pPr>
      <w:r>
        <w:rPr/>
        <w:t>"</w:t>
      </w:r>
      <w:r>
        <w:rPr>
          <w:u w:val="single"/>
        </w:rPr>
        <w:t>Cash Flow Exposure</w:t>
      </w:r>
      <w:r>
        <w:rPr/>
        <w:t xml:space="preserve">" means the sum of (i) the Summer Power Exposure </w:t>
      </w:r>
      <w:r>
        <w:rPr>
          <w:i/>
        </w:rPr>
        <w:t>plus</w:t>
      </w:r>
      <w:r>
        <w:rPr/>
        <w:t xml:space="preserve"> (ii) the Non-Summer Power Exposure </w:t>
      </w:r>
      <w:r>
        <w:rPr>
          <w:i/>
        </w:rPr>
        <w:t xml:space="preserve">plus </w:t>
      </w:r>
      <w:r>
        <w:rPr/>
        <w:t xml:space="preserve">(iii) the Winter Gas Exposure </w:t>
      </w:r>
      <w:r>
        <w:rPr>
          <w:i/>
        </w:rPr>
        <w:t>plus</w:t>
      </w:r>
      <w:r>
        <w:rPr/>
        <w:t xml:space="preserve"> (iv) the Non-Winter Gas Exposure.</w:t>
      </w:r>
    </w:p>
    <w:p>
      <w:pPr>
        <w:pStyle w:val="FootnoteText"/>
        <w:ind w:firstLine="720" w:end="0"/>
        <w:rPr/>
      </w:pPr>
      <w:r>
        <w:rPr/>
      </w:r>
    </w:p>
    <w:p>
      <w:pPr>
        <w:pStyle w:val="FootnoteText"/>
        <w:ind w:firstLine="720" w:end="0"/>
        <w:rPr/>
      </w:pPr>
      <w:r>
        <w:rPr/>
        <w:t>"</w:t>
      </w:r>
      <w:r>
        <w:rPr>
          <w:u w:val="single"/>
        </w:rPr>
        <w:t>Cash Flow Exposure Excess</w:t>
      </w:r>
      <w:r>
        <w:rPr/>
        <w:t>" means the excess, if any, of the Cash Flow Exposure over the Exposure Limit.</w:t>
      </w:r>
    </w:p>
    <w:p>
      <w:pPr>
        <w:pStyle w:val="FootnoteText"/>
        <w:ind w:firstLine="720" w:end="0"/>
        <w:rPr/>
      </w:pPr>
      <w:r>
        <w:rPr/>
      </w:r>
    </w:p>
    <w:p>
      <w:pPr>
        <w:pStyle w:val="FootnoteText"/>
        <w:ind w:firstLine="720" w:end="0"/>
        <w:rPr/>
      </w:pPr>
      <w:r>
        <w:rPr/>
        <w:t>"</w:t>
      </w:r>
      <w:r>
        <w:rPr>
          <w:u w:val="single"/>
        </w:rPr>
        <w:t>Conversion</w:t>
      </w:r>
      <w:r>
        <w:rPr/>
        <w:t>" means the conversion of any Financial Instrument that provides for a cash settlement to either (i) a Gas contract or a Power contract; or (ii) a Financial Instrument that provides for a physical delivery of Power or Gas.  "</w:t>
      </w:r>
      <w:r>
        <w:rPr>
          <w:u w:val="single"/>
        </w:rPr>
        <w:t>Converted</w:t>
      </w:r>
      <w:r>
        <w:rPr/>
        <w:t>" shall have the correlative meaning.</w:t>
      </w:r>
    </w:p>
    <w:p>
      <w:pPr>
        <w:pStyle w:val="FootnoteText"/>
        <w:ind w:firstLine="720" w:end="0"/>
        <w:rPr/>
      </w:pPr>
      <w:r>
        <w:rPr/>
      </w:r>
    </w:p>
    <w:p>
      <w:pPr>
        <w:pStyle w:val="FootnoteText"/>
        <w:ind w:firstLine="720" w:end="0"/>
        <w:rPr/>
      </w:pPr>
      <w:r>
        <w:rPr/>
        <w:t>"</w:t>
      </w:r>
      <w:r>
        <w:rPr>
          <w:u w:val="single"/>
        </w:rPr>
        <w:t>Conversion Period</w:t>
      </w:r>
      <w:r>
        <w:rPr/>
        <w:t>" means the two consecutive day period  during the fifteen-day period prior to the commencement of deliveries of Power or Gas under Financial Instruments which are to be Converted.</w:t>
      </w:r>
    </w:p>
    <w:p>
      <w:pPr>
        <w:pStyle w:val="FootnoteText"/>
        <w:ind w:firstLine="720" w:end="0"/>
        <w:rPr/>
      </w:pPr>
      <w:r>
        <w:rPr/>
      </w:r>
    </w:p>
    <w:p>
      <w:pPr>
        <w:pStyle w:val="FootnoteText"/>
        <w:ind w:firstLine="720" w:end="0"/>
        <w:rPr/>
      </w:pPr>
      <w:r>
        <w:rPr/>
        <w:t>"</w:t>
      </w:r>
      <w:r>
        <w:rPr>
          <w:u w:val="single"/>
        </w:rPr>
        <w:t>Cumulative Liquidation Amount</w:t>
      </w:r>
      <w:r>
        <w:rPr/>
        <w:t>" means, as of any day, the net aggregate Liquidation Amounts that have been paid or received by Cottonwood Energy since the last Monthly Payment Date, it being understood that amounts received by Cottonwood Energy are positive Liquidation Amounts and those paid by Cottonwood Energy are negative Liquidation Amounts.</w:t>
      </w:r>
    </w:p>
    <w:p>
      <w:pPr>
        <w:pStyle w:val="FootnoteText"/>
        <w:rPr/>
      </w:pPr>
      <w:r>
        <w:rPr/>
      </w:r>
    </w:p>
    <w:p>
      <w:pPr>
        <w:pStyle w:val="FootnoteText"/>
        <w:ind w:firstLine="720" w:end="0"/>
        <w:rPr/>
      </w:pPr>
      <w:r>
        <w:rPr>
          <w:u w:val="single"/>
        </w:rPr>
        <w:t>"Cumulative Reduction Amount</w:t>
      </w:r>
      <w:r>
        <w:rPr/>
        <w:t xml:space="preserve">" means, as of any day, the lesser of (a) the sum of all Reduction Amounts for which there are Reduction Dates that occur after the date of calculation of the Cumulative Reduction Amount and (b) zero. </w:t>
      </w:r>
    </w:p>
    <w:p>
      <w:pPr>
        <w:pStyle w:val="FootnoteText"/>
        <w:rPr/>
      </w:pPr>
      <w:r>
        <w:rPr/>
      </w:r>
    </w:p>
    <w:p>
      <w:pPr>
        <w:pStyle w:val="FootnoteText"/>
        <w:ind w:firstLine="720" w:end="0"/>
        <w:rPr/>
      </w:pPr>
      <w:r>
        <w:rPr/>
        <w:t>"</w:t>
      </w:r>
      <w:r>
        <w:rPr>
          <w:u w:val="single"/>
        </w:rPr>
        <w:t>Deficiency</w:t>
      </w:r>
      <w:r>
        <w:rPr/>
        <w:t>" means, as of any day, an amount equal to (i) the Mark-to-Market Deficiency as of such day</w:t>
      </w:r>
      <w:r>
        <w:rPr>
          <w:i/>
        </w:rPr>
        <w:t xml:space="preserve"> plus</w:t>
      </w:r>
      <w:r>
        <w:rPr/>
        <w:t xml:space="preserve"> (ii) any Shortfall Amounts as of such day.</w:t>
      </w:r>
    </w:p>
    <w:p>
      <w:pPr>
        <w:pStyle w:val="FootnoteText"/>
        <w:rPr/>
      </w:pPr>
      <w:r>
        <w:rPr/>
      </w:r>
    </w:p>
    <w:p>
      <w:pPr>
        <w:pStyle w:val="FootnoteText"/>
        <w:ind w:firstLine="720" w:end="0"/>
        <w:rPr/>
      </w:pPr>
      <w:r>
        <w:rPr/>
        <w:t>"</w:t>
      </w:r>
      <w:r>
        <w:rPr>
          <w:u w:val="single"/>
        </w:rPr>
        <w:t>Delta</w:t>
      </w:r>
      <w:r>
        <w:rPr/>
        <w:t>" means a factor equal to the quotient obtained by dividing (i) the change in value of an option (expressed in Dollars) which would be caused by a $1.00 change in the value of the underlying commodity by (ii) $1.00.</w:t>
      </w:r>
    </w:p>
    <w:p>
      <w:pPr>
        <w:pStyle w:val="FootnoteText"/>
        <w:rPr/>
      </w:pPr>
      <w:r>
        <w:rPr/>
      </w:r>
    </w:p>
    <w:p>
      <w:pPr>
        <w:pStyle w:val="FootnoteText"/>
        <w:ind w:firstLine="720" w:end="0"/>
        <w:rPr/>
      </w:pPr>
      <w:r>
        <w:rPr/>
        <w:t>"</w:t>
      </w:r>
      <w:r>
        <w:rPr>
          <w:u w:val="single"/>
        </w:rPr>
        <w:t>Discount Rate</w:t>
      </w:r>
      <w:r>
        <w:rPr/>
        <w:t xml:space="preserve">" means, with </w:t>
      </w:r>
      <w:r>
        <w:rPr>
          <w:color w:val="000000"/>
        </w:rPr>
        <w:t>respect</w:t>
      </w:r>
      <w:r>
        <w:rPr/>
        <w:t xml:space="preserve"> to any calendar year, the annualized rate for one year treasury bills for the week ending as of December 31 of the previous calendar year, as reported in </w:t>
      </w:r>
      <w:r>
        <w:rPr>
          <w:i/>
        </w:rPr>
        <w:t>The Wall Street Journal</w:t>
      </w:r>
      <w:r>
        <w:rPr/>
        <w:t xml:space="preserve">, or if </w:t>
      </w:r>
      <w:r>
        <w:rPr>
          <w:i/>
        </w:rPr>
        <w:t>The Wall Street Journal</w:t>
      </w:r>
      <w:r>
        <w:rPr/>
        <w:t xml:space="preserve"> or a successor publication is no longer published, another financial publication approved by the Technical Committee.</w:t>
      </w:r>
    </w:p>
    <w:p>
      <w:pPr>
        <w:pStyle w:val="FootnoteText"/>
        <w:rPr/>
      </w:pPr>
      <w:r>
        <w:rPr/>
      </w:r>
    </w:p>
    <w:p>
      <w:pPr>
        <w:pStyle w:val="FootnoteText"/>
        <w:ind w:firstLine="720" w:end="0"/>
        <w:rPr/>
      </w:pPr>
      <w:r>
        <w:rPr>
          <w:color w:val="000000"/>
        </w:rPr>
        <w:t>"</w:t>
      </w:r>
      <w:r>
        <w:rPr>
          <w:color w:val="000000"/>
          <w:u w:val="single"/>
        </w:rPr>
        <w:t>EMA</w:t>
      </w:r>
      <w:r>
        <w:rPr>
          <w:color w:val="000000"/>
        </w:rPr>
        <w:t>" means the Energy Management Agreement dated as of December 22, 2000 between the Energy Manager and Cottonwood Energy.</w:t>
      </w:r>
    </w:p>
    <w:p>
      <w:pPr>
        <w:pStyle w:val="FootnoteText"/>
        <w:rPr/>
      </w:pPr>
      <w:r>
        <w:rPr/>
      </w:r>
    </w:p>
    <w:p>
      <w:pPr>
        <w:pStyle w:val="FootnoteText"/>
        <w:ind w:firstLine="720" w:end="0"/>
        <w:rPr/>
      </w:pPr>
      <w:r>
        <w:rPr/>
        <w:t>"</w:t>
      </w:r>
      <w:r>
        <w:rPr>
          <w:u w:val="single"/>
        </w:rPr>
        <w:t>Energy Manager</w:t>
      </w:r>
      <w:r>
        <w:rPr/>
        <w:t>" means Coral Power, L.L.C.</w:t>
      </w:r>
    </w:p>
    <w:p>
      <w:pPr>
        <w:pStyle w:val="FootnoteText"/>
        <w:rPr/>
      </w:pPr>
      <w:r>
        <w:rPr/>
      </w:r>
    </w:p>
    <w:p>
      <w:pPr>
        <w:pStyle w:val="FootnoteText"/>
        <w:ind w:firstLine="720" w:end="0"/>
        <w:rPr/>
      </w:pPr>
      <w:r>
        <w:rPr/>
        <w:t>"</w:t>
      </w:r>
      <w:r>
        <w:rPr>
          <w:u w:val="single"/>
        </w:rPr>
        <w:t>Execution Date</w:t>
      </w:r>
      <w:r>
        <w:rPr/>
        <w:t>" means, with respect to any contract for the sale of Power or the purchase of Gas or any Financial Instrument for any Train, the date that such contract is entered into.</w:t>
      </w:r>
    </w:p>
    <w:p>
      <w:pPr>
        <w:pStyle w:val="FootnoteText"/>
        <w:rPr/>
      </w:pPr>
      <w:r>
        <w:rPr/>
      </w:r>
    </w:p>
    <w:p>
      <w:pPr>
        <w:pStyle w:val="FootnoteText"/>
        <w:ind w:firstLine="720" w:end="0"/>
        <w:rPr/>
      </w:pPr>
      <w:r>
        <w:rPr/>
        <w:t>"</w:t>
      </w:r>
      <w:r>
        <w:rPr>
          <w:u w:val="single"/>
        </w:rPr>
        <w:t>Exposure Limit</w:t>
      </w:r>
      <w:r>
        <w:rPr/>
        <w:t xml:space="preserve">" means, as of any day, a Dollar amount equal to the sum of (i) the balance in the MLR Account as of the Monthly Payment Date immediately preceding the date of calculation, </w:t>
      </w:r>
      <w:r>
        <w:rPr>
          <w:i/>
        </w:rPr>
        <w:t>plus</w:t>
      </w:r>
      <w:r>
        <w:rPr/>
        <w:t xml:space="preserve"> (ii) the amount available to be drawn under the MLRLC as of the Monthly Payment Date immediately preceding the date of calculation</w:t>
      </w:r>
      <w:r>
        <w:rPr>
          <w:i/>
        </w:rPr>
        <w:t xml:space="preserve"> plus</w:t>
      </w:r>
      <w:r>
        <w:rPr/>
        <w:t xml:space="preserve"> (iii) the value of any additional Satisfactory Security provided by Cottonwood Energy in its sole discretion</w:t>
      </w:r>
      <w:r>
        <w:rPr>
          <w:i/>
        </w:rPr>
        <w:t xml:space="preserve"> minus</w:t>
      </w:r>
      <w:r>
        <w:rPr/>
        <w:t xml:space="preserve"> (iv) the MLR Restricted Amount plus (v) the Cumulative Reduction Amount plus (vi) the Cumulative Liquidation Amount to the extent the Cumulative Liquidation Amount is negative.</w:t>
      </w:r>
    </w:p>
    <w:p>
      <w:pPr>
        <w:pStyle w:val="FootnoteText"/>
        <w:rPr/>
      </w:pPr>
      <w:r>
        <w:rPr/>
      </w:r>
    </w:p>
    <w:p>
      <w:pPr>
        <w:pStyle w:val="FootnoteText"/>
        <w:ind w:firstLine="720" w:end="0"/>
        <w:rPr/>
      </w:pPr>
      <w:r>
        <w:rPr/>
        <w:t>"</w:t>
      </w:r>
      <w:r>
        <w:rPr>
          <w:u w:val="single"/>
        </w:rPr>
        <w:t>Financial Instruments</w:t>
      </w:r>
      <w:r>
        <w:rPr/>
        <w:t>" means futures, forward sales and purchases, puts, calls, collars, caps, floors, swaps and other similar financial contracts that derive their value from an underlying commodity generally intended to provide benefits from, or to reduce or eliminate the risk of, fluctuations in the price of Power or Gas, whether traded over an exchange or privately negotiated.</w:t>
      </w:r>
    </w:p>
    <w:p>
      <w:pPr>
        <w:pStyle w:val="FootnoteText"/>
        <w:rPr/>
      </w:pPr>
      <w:r>
        <w:rPr/>
      </w:r>
    </w:p>
    <w:p>
      <w:pPr>
        <w:pStyle w:val="FootnoteText"/>
        <w:ind w:firstLine="720" w:end="0"/>
        <w:rPr/>
      </w:pPr>
      <w:r>
        <w:rPr/>
        <w:t>"</w:t>
      </w:r>
      <w:r>
        <w:rPr>
          <w:u w:val="single"/>
        </w:rPr>
        <w:t>Firm Fuel Contract</w:t>
      </w:r>
      <w:r>
        <w:rPr/>
        <w:t>" means any arrangement for the purchase of Gas for by or on behalf of Cottonwood Energy on a firm-delivery and fixed-price basis.</w:t>
      </w:r>
    </w:p>
    <w:p>
      <w:pPr>
        <w:pStyle w:val="FootnoteText"/>
        <w:rPr/>
      </w:pPr>
      <w:r>
        <w:rPr/>
      </w:r>
    </w:p>
    <w:p>
      <w:pPr>
        <w:pStyle w:val="FootnoteText"/>
        <w:ind w:firstLine="720" w:end="0"/>
        <w:rPr/>
      </w:pPr>
      <w:r>
        <w:rPr/>
        <w:t>"</w:t>
      </w:r>
      <w:r>
        <w:rPr>
          <w:u w:val="single"/>
        </w:rPr>
        <w:t>Firm Power Contract</w:t>
      </w:r>
      <w:r>
        <w:rPr/>
        <w:t>" means any arrangement for the sale of Power by or on behalf of Cottonwood Energy on a firm-delivery and fixed-price basis.</w:t>
      </w:r>
    </w:p>
    <w:p>
      <w:pPr>
        <w:pStyle w:val="FootnoteText"/>
        <w:rPr/>
      </w:pPr>
      <w:r>
        <w:rPr/>
      </w:r>
    </w:p>
    <w:p>
      <w:pPr>
        <w:pStyle w:val="FootnoteText"/>
        <w:ind w:firstLine="720" w:end="0"/>
        <w:rPr/>
      </w:pPr>
      <w:r>
        <w:rPr/>
        <w:t>"</w:t>
      </w:r>
      <w:r>
        <w:rPr>
          <w:u w:val="single"/>
        </w:rPr>
        <w:t>Fuel Services</w:t>
      </w:r>
      <w:r>
        <w:rPr/>
        <w:t>" means the purchase of Gas and Gas transportation for the Project.</w:t>
      </w:r>
    </w:p>
    <w:p>
      <w:pPr>
        <w:pStyle w:val="FootnoteText"/>
        <w:ind w:firstLine="720" w:end="0"/>
        <w:rPr/>
      </w:pPr>
      <w:r>
        <w:rPr/>
      </w:r>
    </w:p>
    <w:p>
      <w:pPr>
        <w:pStyle w:val="FootnoteText"/>
        <w:ind w:firstLine="720" w:end="0"/>
        <w:rPr/>
      </w:pPr>
      <w:r>
        <w:rPr/>
        <w:t>"</w:t>
      </w:r>
      <w:r>
        <w:rPr>
          <w:u w:val="single"/>
        </w:rPr>
        <w:t>Gas</w:t>
      </w:r>
      <w:r>
        <w:rPr/>
        <w:t>" means natural gas.</w:t>
      </w:r>
    </w:p>
    <w:p>
      <w:pPr>
        <w:pStyle w:val="FootnoteText"/>
        <w:ind w:firstLine="720" w:end="0"/>
        <w:rPr/>
      </w:pPr>
      <w:r>
        <w:rPr/>
      </w:r>
    </w:p>
    <w:p>
      <w:pPr>
        <w:pStyle w:val="FootnoteText"/>
        <w:ind w:firstLine="720" w:end="0"/>
        <w:rPr/>
      </w:pPr>
      <w:r>
        <w:rPr/>
        <w:t>"</w:t>
      </w:r>
      <w:r>
        <w:rPr>
          <w:u w:val="single"/>
        </w:rPr>
        <w:t>Gas Imbalance</w:t>
      </w:r>
      <w:r>
        <w:rPr/>
        <w:t>" means, on any calculation date, for any month (including the remaining portion of the month in which the calculation date occurs to extent the calculation is for the current month), the excess, if any, of the Gas Position for such month, converted to MWh at the applicable Heat Rate, over the Power Position for such month.  For purposes of this calculation, the quantity related to a purchased put option on Power shall be equal to the notional quantity of that option if the strike price of such option is greater than the Market Price for Gas for such month times the Heat Rate.</w:t>
      </w:r>
    </w:p>
    <w:p>
      <w:pPr>
        <w:pStyle w:val="FootnoteText"/>
        <w:ind w:firstLine="720" w:end="0"/>
        <w:rPr/>
      </w:pPr>
      <w:r>
        <w:rPr/>
      </w:r>
    </w:p>
    <w:p>
      <w:pPr>
        <w:pStyle w:val="FootnoteText"/>
        <w:ind w:firstLine="720" w:end="0"/>
        <w:rPr/>
      </w:pPr>
      <w:r>
        <w:rPr/>
        <w:t>"</w:t>
      </w:r>
      <w:r>
        <w:rPr>
          <w:u w:val="single"/>
        </w:rPr>
        <w:t>Gas Position</w:t>
      </w:r>
      <w:r>
        <w:rPr/>
        <w:t>" means the aggregate quantity of Gas (expressed in MMBtu) purchased under Firm Fuel Contracts and the notional amount of Gas (expressed in MMBtu) covered by Gas-based Financial Instruments, net of any "reversing transaction" pursuant to which Gas is sold by Cottonwood Energy.  The quantity related to an option position shall be the product of the Delta of that option and the notional amount of that option, except as set forth in the definition of Power Imbalances and Gas Imbalances.</w:t>
      </w:r>
    </w:p>
    <w:p>
      <w:pPr>
        <w:pStyle w:val="FootnoteText"/>
        <w:ind w:firstLine="720" w:end="0"/>
        <w:rPr/>
      </w:pPr>
      <w:r>
        <w:rPr/>
      </w:r>
    </w:p>
    <w:p>
      <w:pPr>
        <w:pStyle w:val="FootnoteText"/>
        <w:ind w:firstLine="720" w:end="0"/>
        <w:rPr/>
      </w:pPr>
      <w:r>
        <w:rPr/>
        <w:t>"</w:t>
      </w:r>
      <w:r>
        <w:rPr>
          <w:u w:val="single"/>
        </w:rPr>
        <w:t>Heat Rate</w:t>
      </w:r>
      <w:r>
        <w:rPr/>
        <w:t>" means, for the period from Financial Closing until the effective date of the first Annual Operating Budget, the Net Train Plant Heat Rate, as defined in the EPC Agreement, and thereafter means the heat rate for the Project determined by Cottonwood Energy and approved by the Technical Committee in consultation with the Independent Engineer in conjunction with the preparation of such Annual Operating Budget, in each case adjusted for ISO conditions.</w:t>
      </w:r>
    </w:p>
    <w:p>
      <w:pPr>
        <w:pStyle w:val="FootnoteText"/>
        <w:rPr/>
      </w:pPr>
      <w:r>
        <w:rPr/>
      </w:r>
    </w:p>
    <w:p>
      <w:pPr>
        <w:pStyle w:val="FootnoteText"/>
        <w:ind w:firstLine="720" w:end="0"/>
        <w:rPr/>
      </w:pPr>
      <w:r>
        <w:rPr/>
        <w:t>"</w:t>
      </w:r>
      <w:r>
        <w:rPr>
          <w:u w:val="single"/>
        </w:rPr>
        <w:t>Imbalance</w:t>
      </w:r>
      <w:r>
        <w:rPr/>
        <w:t>" means either a Gas Imbalance or a Power Imbalance.</w:t>
      </w:r>
    </w:p>
    <w:p>
      <w:pPr>
        <w:pStyle w:val="FootnoteText"/>
        <w:rPr/>
      </w:pPr>
      <w:r>
        <w:rPr/>
      </w:r>
    </w:p>
    <w:p>
      <w:pPr>
        <w:pStyle w:val="FootnoteText"/>
        <w:ind w:firstLine="720" w:end="0"/>
        <w:rPr/>
      </w:pPr>
      <w:r>
        <w:rPr/>
        <w:t>"</w:t>
      </w:r>
      <w:r>
        <w:rPr>
          <w:u w:val="single"/>
        </w:rPr>
        <w:t>INA</w:t>
      </w:r>
      <w:r>
        <w:rPr/>
        <w:t>" means InterGen North America Services LLC.</w:t>
      </w:r>
    </w:p>
    <w:p>
      <w:pPr>
        <w:pStyle w:val="FootnoteText"/>
        <w:ind w:firstLine="720" w:end="0"/>
        <w:rPr>
          <w:u w:val="single"/>
        </w:rPr>
      </w:pPr>
      <w:r>
        <w:rPr>
          <w:u w:val="single"/>
        </w:rPr>
      </w:r>
    </w:p>
    <w:p>
      <w:pPr>
        <w:pStyle w:val="FootnoteText"/>
        <w:ind w:firstLine="720" w:end="0"/>
        <w:rPr/>
      </w:pPr>
      <w:r>
        <w:rPr/>
        <w:t>"</w:t>
      </w:r>
      <w:r>
        <w:rPr>
          <w:u w:val="single"/>
        </w:rPr>
        <w:t>Liquidation Amount</w:t>
      </w:r>
      <w:r>
        <w:rPr/>
        <w:t>" means, any amount paid or received by Cottonwood Energy in connection with the termination of any liability of the Cottonwood Energy under any Power contract, Gas contract or Financial Instrument.</w:t>
      </w:r>
    </w:p>
    <w:p>
      <w:pPr>
        <w:pStyle w:val="FootnoteText"/>
        <w:rPr/>
      </w:pPr>
      <w:r>
        <w:rPr/>
      </w:r>
    </w:p>
    <w:p>
      <w:pPr>
        <w:pStyle w:val="FootnoteText"/>
        <w:ind w:firstLine="720" w:end="0"/>
        <w:rPr/>
      </w:pPr>
      <w:r>
        <w:rPr/>
        <w:t>"</w:t>
      </w:r>
      <w:r>
        <w:rPr>
          <w:u w:val="single"/>
        </w:rPr>
        <w:t>Market Price</w:t>
      </w:r>
      <w:r>
        <w:rPr/>
        <w:t>" means for Gas and Power the price published for a quoted index or other market measure as selected by Cottonwood Energy from time to time and approved by the Technical Committee.</w:t>
      </w:r>
    </w:p>
    <w:p>
      <w:pPr>
        <w:pStyle w:val="FootnoteText"/>
        <w:rPr/>
      </w:pPr>
      <w:r>
        <w:rPr/>
      </w:r>
    </w:p>
    <w:p>
      <w:pPr>
        <w:pStyle w:val="FootnoteText"/>
        <w:ind w:firstLine="720" w:end="0"/>
        <w:rPr>
          <w:strike/>
        </w:rPr>
      </w:pPr>
      <w:r>
        <w:rPr/>
        <w:t>"</w:t>
      </w:r>
      <w:r>
        <w:rPr>
          <w:u w:val="single"/>
        </w:rPr>
        <w:t>Mark-to-Market  Deficiency</w:t>
      </w:r>
      <w:r>
        <w:rPr/>
        <w:t>" means, as of any day, the sum of the amounts determined pursuant to clause (x) and (y):</w:t>
      </w:r>
    </w:p>
    <w:p>
      <w:pPr>
        <w:pStyle w:val="FootnoteText"/>
        <w:ind w:firstLine="720" w:start="720" w:end="0"/>
        <w:rPr>
          <w:strike/>
        </w:rPr>
      </w:pPr>
      <w:r>
        <w:rPr>
          <w:strike/>
        </w:rPr>
      </w:r>
    </w:p>
    <w:p>
      <w:pPr>
        <w:pStyle w:val="FootnoteText"/>
        <w:ind w:firstLine="720" w:start="720" w:end="0"/>
        <w:rPr/>
      </w:pPr>
      <w:r>
        <w:rPr/>
        <w:t>(x) the Gas Imbalance for each month multiplied by the excess, if any, of (a) the weighted average contract price for Gas for each such month; over (b) the applicable Market Price for Gas for each such month, discounted to the date of calculation at the Discount Rate in effect for the date of calculation; and</w:t>
      </w:r>
    </w:p>
    <w:p>
      <w:pPr>
        <w:pStyle w:val="FootnoteText"/>
        <w:ind w:firstLine="720" w:start="720" w:end="0"/>
        <w:rPr/>
      </w:pPr>
      <w:r>
        <w:rPr/>
      </w:r>
    </w:p>
    <w:p>
      <w:pPr>
        <w:pStyle w:val="FootnoteText"/>
        <w:ind w:firstLine="720" w:start="720" w:end="0"/>
        <w:rPr/>
      </w:pPr>
      <w:r>
        <w:rPr/>
        <w:t>(y) the Power Imbalance for each month multiplied by the excess, if any, of (a) the applicable Market Price for Power as of the date of calculation for each such month over (b) the weighted average contract price for Power for such month, discounted to the date of calculation at the Discount Rate in effect for the date of calculation.</w:t>
      </w:r>
    </w:p>
    <w:p>
      <w:pPr>
        <w:pStyle w:val="FootnoteText"/>
        <w:ind w:start="720" w:end="0"/>
        <w:rPr/>
      </w:pPr>
      <w:r>
        <w:rPr/>
      </w:r>
    </w:p>
    <w:p>
      <w:pPr>
        <w:pStyle w:val="FootnoteText"/>
        <w:ind w:firstLine="720" w:end="0"/>
        <w:rPr/>
      </w:pPr>
      <w:r>
        <w:rPr/>
        <w:t>"</w:t>
      </w:r>
      <w:r>
        <w:rPr>
          <w:u w:val="single"/>
        </w:rPr>
        <w:t>Mark-to-Market Excess</w:t>
      </w:r>
      <w:r>
        <w:rPr/>
        <w:t>"  means, as of any day, the excess of the Deficiency as of such day, over the Exposure Limit as of such day.</w:t>
      </w:r>
    </w:p>
    <w:p>
      <w:pPr>
        <w:pStyle w:val="FootnoteText"/>
        <w:ind w:start="720" w:end="0"/>
        <w:rPr/>
      </w:pPr>
      <w:r>
        <w:rPr/>
      </w:r>
    </w:p>
    <w:p>
      <w:pPr>
        <w:pStyle w:val="FootnoteText"/>
        <w:ind w:firstLine="720" w:end="0"/>
        <w:rPr/>
      </w:pPr>
      <w:r>
        <w:rPr/>
        <w:t>"</w:t>
      </w:r>
      <w:r>
        <w:rPr>
          <w:u w:val="single"/>
        </w:rPr>
        <w:t>Mark-to-Market Value"</w:t>
      </w:r>
      <w:r>
        <w:rPr/>
        <w:t xml:space="preserve"> means for purposes of determining the Reduction Amount, the sum of the amounts determined pursuant to clause (x) and (y):</w:t>
      </w:r>
    </w:p>
    <w:p>
      <w:pPr>
        <w:pStyle w:val="FootnoteText"/>
        <w:ind w:start="720" w:end="0"/>
        <w:rPr/>
      </w:pPr>
      <w:r>
        <w:rPr/>
      </w:r>
    </w:p>
    <w:p>
      <w:pPr>
        <w:pStyle w:val="FootnoteText"/>
        <w:ind w:firstLine="720" w:start="720" w:end="0"/>
        <w:rPr/>
      </w:pPr>
      <w:r>
        <w:rPr/>
        <w:t>(x) the relevant Gas Position multiplied by the result of: (a) the applicable Market Price for Gas as of the date of calculation for each such month</w:t>
      </w:r>
      <w:r>
        <w:rPr>
          <w:i/>
        </w:rPr>
        <w:t xml:space="preserve"> minus</w:t>
      </w:r>
      <w:r>
        <w:rPr/>
        <w:t xml:space="preserve"> (b) the weighted average contract price for Gas for such position, discounted to the date of calculation at the Discount Rate in effect for the date of calculation; and</w:t>
      </w:r>
    </w:p>
    <w:p>
      <w:pPr>
        <w:pStyle w:val="FootnoteText"/>
        <w:ind w:start="720" w:end="0"/>
        <w:rPr/>
      </w:pPr>
      <w:r>
        <w:rPr/>
      </w:r>
    </w:p>
    <w:p>
      <w:pPr>
        <w:pStyle w:val="FootnoteText"/>
        <w:ind w:firstLine="720" w:start="720" w:end="0"/>
        <w:rPr/>
      </w:pPr>
      <w:r>
        <w:rPr/>
        <w:t xml:space="preserve">(y) the relevant Power Position multiplied by (a) the weighted average contract price for Power for such position </w:t>
      </w:r>
      <w:r>
        <w:rPr>
          <w:i/>
        </w:rPr>
        <w:t>minus</w:t>
      </w:r>
      <w:r>
        <w:rPr/>
        <w:t xml:space="preserve"> (b) the applicable Market Price for Power as of the date of calculation for each such month, discounted to the date of calculation at the Discount Rate in effect for the date of calculation.</w:t>
      </w:r>
    </w:p>
    <w:p>
      <w:pPr>
        <w:pStyle w:val="FootnoteText"/>
        <w:ind w:firstLine="720" w:end="0"/>
        <w:rPr/>
      </w:pPr>
      <w:r>
        <w:rPr/>
      </w:r>
    </w:p>
    <w:p>
      <w:pPr>
        <w:pStyle w:val="FootnoteText"/>
        <w:ind w:firstLine="720" w:end="0"/>
        <w:rPr/>
      </w:pPr>
      <w:r>
        <w:rPr/>
        <w:t>"</w:t>
      </w:r>
      <w:r>
        <w:rPr>
          <w:u w:val="single"/>
        </w:rPr>
        <w:t>MLR Restricted Amount</w:t>
      </w:r>
      <w:r>
        <w:rPr/>
        <w:t>" means on any date of calculation of the Exposure Limit the greater of (i) the maximum Debt Service payable by Cottonwood Energy on any of the twelve Quarterly Payment Dates immediately following the date of calculation and (ii) the aggregate amount by which the forecasted Available Cash Flow is below that is needed to achieve a Prospective Debt Service Coverage Ratio of 1.3:1.0 for each of the three successive periods of Four Quarterly Payment Dates following the date of calculation.</w:t>
      </w:r>
    </w:p>
    <w:p>
      <w:pPr>
        <w:pStyle w:val="FootnoteText"/>
        <w:rPr/>
      </w:pPr>
      <w:r>
        <w:rPr/>
      </w:r>
    </w:p>
    <w:p>
      <w:pPr>
        <w:pStyle w:val="FootnoteText"/>
        <w:ind w:firstLine="720" w:end="0"/>
        <w:rPr/>
      </w:pPr>
      <w:r>
        <w:rPr/>
        <w:t>"</w:t>
      </w:r>
      <w:r>
        <w:rPr>
          <w:u w:val="single"/>
        </w:rPr>
        <w:t>MMBtu</w:t>
      </w:r>
      <w:r>
        <w:rPr/>
        <w:t>" means one million British thermal units.</w:t>
      </w:r>
    </w:p>
    <w:p>
      <w:pPr>
        <w:pStyle w:val="FootnoteText"/>
        <w:ind w:firstLine="720" w:end="0"/>
        <w:rPr/>
      </w:pPr>
      <w:r>
        <w:rPr/>
      </w:r>
    </w:p>
    <w:p>
      <w:pPr>
        <w:pStyle w:val="FootnoteText"/>
        <w:ind w:firstLine="720" w:end="0"/>
        <w:rPr/>
      </w:pPr>
      <w:r>
        <w:rPr/>
        <w:t>"</w:t>
      </w:r>
      <w:r>
        <w:rPr>
          <w:u w:val="single"/>
        </w:rPr>
        <w:t>MSA</w:t>
      </w:r>
      <w:r>
        <w:rPr/>
        <w:t>" means the Management Services Agreement between Cottonwood Energy and INA.</w:t>
      </w:r>
    </w:p>
    <w:p>
      <w:pPr>
        <w:pStyle w:val="FootnoteText"/>
        <w:ind w:firstLine="720" w:end="0"/>
        <w:rPr/>
      </w:pPr>
      <w:r>
        <w:rPr/>
      </w:r>
    </w:p>
    <w:p>
      <w:pPr>
        <w:pStyle w:val="FootnoteText"/>
        <w:ind w:firstLine="720" w:end="0"/>
        <w:rPr/>
      </w:pPr>
      <w:r>
        <w:rPr/>
        <w:t>"</w:t>
      </w:r>
      <w:r>
        <w:rPr>
          <w:u w:val="single"/>
        </w:rPr>
        <w:t>MW</w:t>
      </w:r>
      <w:r>
        <w:rPr/>
        <w:t>" means a unit of energy equal to one million watts.</w:t>
      </w:r>
    </w:p>
    <w:p>
      <w:pPr>
        <w:pStyle w:val="FootnoteText"/>
        <w:ind w:firstLine="720" w:end="0"/>
        <w:rPr/>
      </w:pPr>
      <w:r>
        <w:rPr/>
      </w:r>
    </w:p>
    <w:p>
      <w:pPr>
        <w:pStyle w:val="FootnoteText"/>
        <w:ind w:firstLine="720" w:end="0"/>
        <w:rPr/>
      </w:pPr>
      <w:r>
        <w:rPr/>
        <w:t>"</w:t>
      </w:r>
      <w:r>
        <w:rPr>
          <w:u w:val="single"/>
        </w:rPr>
        <w:t>MWh</w:t>
      </w:r>
      <w:r>
        <w:rPr/>
        <w:t>" means a unit of electrical energy equal to one million watts of power used for one hour.</w:t>
      </w:r>
    </w:p>
    <w:p>
      <w:pPr>
        <w:pStyle w:val="Normal"/>
        <w:rPr/>
      </w:pPr>
      <w:r>
        <w:rPr/>
      </w:r>
    </w:p>
    <w:p>
      <w:pPr>
        <w:pStyle w:val="Normal"/>
        <w:ind w:firstLine="720" w:end="0"/>
        <w:rPr/>
      </w:pPr>
      <w:r>
        <w:rPr/>
        <w:t>"</w:t>
      </w:r>
      <w:r>
        <w:rPr>
          <w:u w:val="single"/>
        </w:rPr>
        <w:t>Negative Non-Summer Power Price Movement</w:t>
      </w:r>
      <w:r>
        <w:rPr/>
        <w:t>" means the Negative Price Movement Value for Power for the Non-Summer Months, expressed in Dollars per MWh.</w:t>
      </w:r>
    </w:p>
    <w:p>
      <w:pPr>
        <w:pStyle w:val="Normal"/>
        <w:rPr/>
      </w:pPr>
      <w:r>
        <w:rPr/>
      </w:r>
    </w:p>
    <w:p>
      <w:pPr>
        <w:pStyle w:val="FootnoteText"/>
        <w:ind w:firstLine="720" w:end="0"/>
        <w:rPr/>
      </w:pPr>
      <w:r>
        <w:rPr/>
        <w:t>"</w:t>
      </w:r>
      <w:r>
        <w:rPr>
          <w:u w:val="single"/>
        </w:rPr>
        <w:t>Negative Non-Winter Gas Price Movement</w:t>
      </w:r>
      <w:r>
        <w:rPr/>
        <w:t>" means the Negative Price Movement Value for Gas for the Non-Winter Months, expressed in Dollars per MMBtu.</w:t>
      </w:r>
    </w:p>
    <w:p>
      <w:pPr>
        <w:pStyle w:val="Normal"/>
        <w:rPr/>
      </w:pPr>
      <w:r>
        <w:rPr/>
      </w:r>
    </w:p>
    <w:p>
      <w:pPr>
        <w:pStyle w:val="Normal"/>
        <w:ind w:firstLine="720" w:end="0"/>
        <w:rPr/>
      </w:pPr>
      <w:r>
        <w:rPr/>
        <w:t>"</w:t>
      </w:r>
      <w:r>
        <w:rPr>
          <w:u w:val="single"/>
        </w:rPr>
        <w:t>Negative Price Movement Value</w:t>
      </w:r>
      <w:r>
        <w:rPr/>
        <w:t>" means, as of any calculation date, for the month within the applicable Season, the amount equal to two times the highest standard deviation of the daily movement of the Applicable Index Price for the month with the highest observed standard deviation of daily price movement, based on the last three such Seasons.  Such amount shall be calculated annually by Cottonwood Energy and approved by the Technical Committee in connection with each Annual Operating Budget and shall apply to each calculation date during following the calendar year.  Either Cottonwood Energy or the Technical Committee, however, may request at any time and from time to time during such year that the amount be recalculated for the previous thirty-six calendar months and such recalculated amount shall be utilized for the remainder of the calendar year in which the recalculation is made.</w:t>
      </w:r>
    </w:p>
    <w:p>
      <w:pPr>
        <w:pStyle w:val="Normal"/>
        <w:rPr/>
      </w:pPr>
      <w:r>
        <w:rPr/>
      </w:r>
    </w:p>
    <w:p>
      <w:pPr>
        <w:pStyle w:val="Normal"/>
        <w:ind w:firstLine="720" w:end="0"/>
        <w:rPr/>
      </w:pPr>
      <w:r>
        <w:rPr/>
        <w:t>"</w:t>
      </w:r>
      <w:r>
        <w:rPr>
          <w:u w:val="single"/>
        </w:rPr>
        <w:t>Negative Summer Power Price Movement</w:t>
      </w:r>
      <w:r>
        <w:rPr/>
        <w:t>" means the Negative Price Movement Value for Power for the Summer Months, expressed in Dollars per MWh.</w:t>
      </w:r>
    </w:p>
    <w:p>
      <w:pPr>
        <w:pStyle w:val="Normal"/>
        <w:rPr/>
      </w:pPr>
      <w:r>
        <w:rPr/>
      </w:r>
    </w:p>
    <w:p>
      <w:pPr>
        <w:pStyle w:val="FootnoteText"/>
        <w:ind w:firstLine="720" w:end="0"/>
        <w:rPr/>
      </w:pPr>
      <w:r>
        <w:rPr/>
        <w:t>"</w:t>
      </w:r>
      <w:r>
        <w:rPr>
          <w:u w:val="single"/>
        </w:rPr>
        <w:t>Negative Winter Gas Price Movement</w:t>
      </w:r>
      <w:r>
        <w:rPr/>
        <w:t>" means the Negative Price Movement Value for Gas for Winter Months, expressed in Dollars per MMBtu.</w:t>
      </w:r>
    </w:p>
    <w:p>
      <w:pPr>
        <w:pStyle w:val="FootnoteText"/>
        <w:ind w:firstLine="720" w:end="0"/>
        <w:rPr/>
      </w:pPr>
      <w:r>
        <w:rPr/>
      </w:r>
    </w:p>
    <w:p>
      <w:pPr>
        <w:pStyle w:val="FootnoteText"/>
        <w:ind w:firstLine="720" w:end="0"/>
        <w:rPr/>
      </w:pPr>
      <w:r>
        <w:rPr/>
        <w:t>"</w:t>
      </w:r>
      <w:r>
        <w:rPr>
          <w:u w:val="single"/>
        </w:rPr>
        <w:t>Net Train Electrical Output (Guaranteed)</w:t>
      </w:r>
      <w:r>
        <w:rPr/>
        <w:t>" shall have the meaning ascribed to such term in the EPC Agreement.</w:t>
      </w:r>
    </w:p>
    <w:p>
      <w:pPr>
        <w:pStyle w:val="FootnoteText"/>
        <w:ind w:start="720" w:end="0"/>
        <w:rPr/>
      </w:pPr>
      <w:r>
        <w:rPr/>
      </w:r>
    </w:p>
    <w:p>
      <w:pPr>
        <w:pStyle w:val="FootnoteText"/>
        <w:ind w:firstLine="720" w:end="0"/>
        <w:rPr/>
      </w:pPr>
      <w:r>
        <w:rPr/>
        <w:t>"</w:t>
      </w:r>
      <w:r>
        <w:rPr>
          <w:u w:val="single"/>
        </w:rPr>
        <w:t>Non-Summer Months</w:t>
      </w:r>
      <w:r>
        <w:rPr/>
        <w:t>" means the calendar months of September through and including May.</w:t>
      </w:r>
    </w:p>
    <w:p>
      <w:pPr>
        <w:pStyle w:val="FootnoteText"/>
        <w:ind w:firstLine="720" w:end="0"/>
        <w:rPr/>
      </w:pPr>
      <w:r>
        <w:rPr/>
      </w:r>
    </w:p>
    <w:p>
      <w:pPr>
        <w:pStyle w:val="FootnoteText"/>
        <w:ind w:firstLine="720" w:end="0"/>
        <w:rPr/>
      </w:pPr>
      <w:r>
        <w:rPr/>
        <w:t>"</w:t>
      </w:r>
      <w:r>
        <w:rPr>
          <w:u w:val="single"/>
        </w:rPr>
        <w:t>Non-Summer Power Exposure</w:t>
      </w:r>
      <w:r>
        <w:rPr/>
        <w:t>" means all Power Imbalances during the Non-Summer Months (expressed in MWh) times the Negative Non-Summer Power Price Movement.</w:t>
      </w:r>
    </w:p>
    <w:p>
      <w:pPr>
        <w:pStyle w:val="FootnoteText"/>
        <w:ind w:firstLine="720" w:end="0"/>
        <w:rPr/>
      </w:pPr>
      <w:r>
        <w:rPr/>
      </w:r>
    </w:p>
    <w:p>
      <w:pPr>
        <w:pStyle w:val="FootnoteText"/>
        <w:ind w:firstLine="720" w:end="0"/>
        <w:rPr/>
      </w:pPr>
      <w:r>
        <w:rPr/>
        <w:t>"</w:t>
      </w:r>
      <w:r>
        <w:rPr>
          <w:u w:val="single"/>
        </w:rPr>
        <w:t>Non-Winter Months</w:t>
      </w:r>
      <w:r>
        <w:rPr/>
        <w:t>" means the calendar months of April through and including October.</w:t>
      </w:r>
    </w:p>
    <w:p>
      <w:pPr>
        <w:pStyle w:val="FootnoteText"/>
        <w:ind w:firstLine="720" w:end="0"/>
        <w:rPr/>
      </w:pPr>
      <w:r>
        <w:rPr/>
      </w:r>
    </w:p>
    <w:p>
      <w:pPr>
        <w:pStyle w:val="FootnoteText"/>
        <w:ind w:firstLine="720" w:end="0"/>
        <w:rPr/>
      </w:pPr>
      <w:r>
        <w:rPr/>
        <w:t>"</w:t>
      </w:r>
      <w:r>
        <w:rPr>
          <w:u w:val="single"/>
        </w:rPr>
        <w:t>Non-Winter Gas Exposure</w:t>
      </w:r>
      <w:r>
        <w:rPr/>
        <w:t>" means all Gas Imbalances during the Non-Winter Months (expressed in MMbtu) times the Negative Non-Winter Gas Price Movement.</w:t>
      </w:r>
    </w:p>
    <w:p>
      <w:pPr>
        <w:pStyle w:val="FootnoteText"/>
        <w:ind w:firstLine="720" w:end="0"/>
        <w:rPr/>
      </w:pPr>
      <w:r>
        <w:rPr/>
      </w:r>
    </w:p>
    <w:p>
      <w:pPr>
        <w:pStyle w:val="FootnoteText"/>
        <w:ind w:firstLine="720" w:end="0"/>
        <w:rPr/>
      </w:pPr>
      <w:r>
        <w:rPr/>
        <w:t>"</w:t>
      </w:r>
      <w:r>
        <w:rPr>
          <w:u w:val="single"/>
        </w:rPr>
        <w:t>Performance Tests</w:t>
      </w:r>
      <w:r>
        <w:rPr/>
        <w:t>" shall have the meaning ascribed to such term in the EPC Agreement.</w:t>
      </w:r>
    </w:p>
    <w:p>
      <w:pPr>
        <w:pStyle w:val="FootnoteText"/>
        <w:ind w:firstLine="720" w:end="0"/>
        <w:rPr/>
      </w:pPr>
      <w:r>
        <w:rPr/>
      </w:r>
    </w:p>
    <w:p>
      <w:pPr>
        <w:pStyle w:val="FootnoteText"/>
        <w:ind w:firstLine="720" w:end="0"/>
        <w:rPr/>
      </w:pPr>
      <w:r>
        <w:rPr/>
        <w:t>"</w:t>
      </w:r>
      <w:r>
        <w:rPr>
          <w:u w:val="single"/>
        </w:rPr>
        <w:t>Power</w:t>
      </w:r>
      <w:r>
        <w:rPr/>
        <w:t>" means capacity, energy and ancillary services from the Project.</w:t>
      </w:r>
    </w:p>
    <w:p>
      <w:pPr>
        <w:pStyle w:val="FootnoteText"/>
        <w:ind w:firstLine="720" w:end="0"/>
        <w:rPr/>
      </w:pPr>
      <w:r>
        <w:rPr/>
      </w:r>
    </w:p>
    <w:p>
      <w:pPr>
        <w:pStyle w:val="FootnoteText"/>
        <w:ind w:firstLine="720" w:end="0"/>
        <w:rPr/>
      </w:pPr>
      <w:r>
        <w:rPr/>
        <w:t>"</w:t>
      </w:r>
      <w:r>
        <w:rPr>
          <w:u w:val="single"/>
        </w:rPr>
        <w:t>Power Imbalance</w:t>
      </w:r>
      <w:r>
        <w:rPr/>
        <w:t>" means, on any calculation date, for any month (including the remaining portion of the month in which the calculation date occurs to the extent calculation is the current month), the excess, if any, of, the Power Position for such month over the Gas Position for such month, converted to MWh at the applicable Heat Rate.  For purposes of this calculation, the quantity related to a purchase call option on Gas shall be equal to the notional quantity of that option if the strike price of such option times the Heat Rate is less than the Market Price for Power for such month.</w:t>
      </w:r>
    </w:p>
    <w:p>
      <w:pPr>
        <w:pStyle w:val="FootnoteText"/>
        <w:ind w:firstLine="720" w:end="0"/>
        <w:rPr/>
      </w:pPr>
      <w:r>
        <w:rPr/>
      </w:r>
    </w:p>
    <w:p>
      <w:pPr>
        <w:pStyle w:val="FootnoteText"/>
        <w:ind w:firstLine="720" w:end="0"/>
        <w:rPr/>
      </w:pPr>
      <w:r>
        <w:rPr/>
        <w:t>"</w:t>
      </w:r>
      <w:r>
        <w:rPr>
          <w:u w:val="single"/>
        </w:rPr>
        <w:t>Power Position</w:t>
      </w:r>
      <w:r>
        <w:rPr/>
        <w:t>" means the aggregate quantity of Power (expressed in MWh) sold under Firm Power Contracts and the notional amount of Power (expressed in MWh) covered by Power-based Financial Instruments, net of any "reversing transaction" pursuant to which Power is purchased by Cottonwood Energy.  The quantity related to an option position shall be the product of the Delta of that option and the notional amount of that option, except as set forth in the definition of Gas Imbalances and Power Imbalances.</w:t>
      </w:r>
    </w:p>
    <w:p>
      <w:pPr>
        <w:pStyle w:val="FootnoteText"/>
        <w:ind w:firstLine="720" w:end="0"/>
        <w:rPr/>
      </w:pPr>
      <w:r>
        <w:rPr/>
      </w:r>
    </w:p>
    <w:p>
      <w:pPr>
        <w:pStyle w:val="Heading2"/>
        <w:keepNext w:val="false"/>
        <w:ind w:firstLine="720" w:start="0" w:end="0"/>
        <w:rPr/>
      </w:pPr>
      <w:r>
        <w:rPr>
          <w:b w:val="false"/>
        </w:rPr>
        <w:t>"</w:t>
      </w:r>
      <w:r>
        <w:rPr>
          <w:b w:val="false"/>
          <w:u w:val="single"/>
        </w:rPr>
        <w:t>Pre-Approved Financial Instrument Form</w:t>
      </w:r>
      <w:r>
        <w:rPr>
          <w:b w:val="false"/>
        </w:rPr>
        <w:t>" means (i) with respect to negotiated transactions, a Master Agreement promulgated by the International Swap Dealers Association with a schedule and transaction confirmation customarily executed by sophisticated parties in similar transactions; (ii) with respect to exchange-traded transactions, the form required by the exchange; or (iii) a form of Financial Instrument recommended by Cottonwood Energy from time to time and approved by the Technical Committee.</w:t>
      </w:r>
    </w:p>
    <w:p>
      <w:pPr>
        <w:pStyle w:val="Heading2"/>
        <w:keepNext w:val="false"/>
        <w:ind w:firstLine="720" w:start="0" w:end="0"/>
        <w:rPr>
          <w:b w:val="false"/>
        </w:rPr>
      </w:pPr>
      <w:r>
        <w:rPr>
          <w:b w:val="false"/>
        </w:rPr>
      </w:r>
    </w:p>
    <w:p>
      <w:pPr>
        <w:pStyle w:val="Heading2"/>
        <w:keepNext w:val="false"/>
        <w:ind w:firstLine="720" w:start="0" w:end="0"/>
        <w:rPr/>
      </w:pPr>
      <w:r>
        <w:rPr>
          <w:b w:val="false"/>
        </w:rPr>
        <w:t>"</w:t>
      </w:r>
      <w:r>
        <w:rPr>
          <w:b w:val="false"/>
          <w:u w:val="single"/>
        </w:rPr>
        <w:t>Pre-Approved Form</w:t>
      </w:r>
      <w:r>
        <w:rPr>
          <w:b w:val="false"/>
        </w:rPr>
        <w:t>" means, as applicable, a Pre-Approved Financial Instrument Form, a Pre-Approved Fuel Form or a Pre-Approved Power Form.  All Pre-Approved Form contracts must satisfy the requirements of Section 14 of this Exhibit.</w:t>
      </w:r>
    </w:p>
    <w:p>
      <w:pPr>
        <w:pStyle w:val="Normal"/>
        <w:rPr>
          <w:b/>
        </w:rPr>
      </w:pPr>
      <w:r>
        <w:rPr>
          <w:b/>
        </w:rPr>
      </w:r>
    </w:p>
    <w:p>
      <w:pPr>
        <w:pStyle w:val="Heading2"/>
        <w:keepNext w:val="false"/>
        <w:ind w:firstLine="720" w:start="0" w:end="0"/>
        <w:rPr/>
      </w:pPr>
      <w:r>
        <w:rPr>
          <w:b w:val="false"/>
        </w:rPr>
        <w:t>"</w:t>
      </w:r>
      <w:r>
        <w:rPr>
          <w:b w:val="false"/>
          <w:u w:val="single"/>
        </w:rPr>
        <w:t>Pre-Approved Fuel Form</w:t>
      </w:r>
      <w:r>
        <w:rPr>
          <w:b w:val="false"/>
        </w:rPr>
        <w:t>" means a form of Gas contract recommended by Cottonwood Energy from time to time and approved by the Technical Committee.</w:t>
      </w:r>
    </w:p>
    <w:p>
      <w:pPr>
        <w:pStyle w:val="Heading2"/>
        <w:keepNext w:val="false"/>
        <w:ind w:firstLine="720" w:start="0" w:end="0"/>
        <w:rPr>
          <w:b w:val="false"/>
        </w:rPr>
      </w:pPr>
      <w:r>
        <w:rPr>
          <w:b w:val="false"/>
        </w:rPr>
        <w:t xml:space="preserve"> </w:t>
      </w:r>
    </w:p>
    <w:p>
      <w:pPr>
        <w:pStyle w:val="Heading2"/>
        <w:keepNext w:val="false"/>
        <w:ind w:firstLine="720" w:start="0" w:end="0"/>
        <w:rPr/>
      </w:pPr>
      <w:r>
        <w:rPr>
          <w:b w:val="false"/>
        </w:rPr>
        <w:t>"</w:t>
      </w:r>
      <w:r>
        <w:rPr>
          <w:b w:val="false"/>
          <w:u w:val="single"/>
        </w:rPr>
        <w:t>Pre-Approved Power Form</w:t>
      </w:r>
      <w:r>
        <w:rPr>
          <w:b w:val="false"/>
        </w:rPr>
        <w:t xml:space="preserve">" means a form of Power contract recommended by Cottonwood Energy from time to time and approved by the Technical Committee </w:t>
      </w:r>
    </w:p>
    <w:p>
      <w:pPr>
        <w:pStyle w:val="FootnoteText"/>
        <w:ind w:firstLine="720" w:end="0"/>
        <w:rPr>
          <w:b/>
        </w:rPr>
      </w:pPr>
      <w:r>
        <w:rPr>
          <w:b/>
        </w:rPr>
      </w:r>
    </w:p>
    <w:p>
      <w:pPr>
        <w:pStyle w:val="FootnoteText"/>
        <w:ind w:firstLine="720" w:end="0"/>
        <w:rPr/>
      </w:pPr>
      <w:r>
        <w:rPr/>
        <w:t>"</w:t>
      </w:r>
      <w:r>
        <w:rPr>
          <w:u w:val="single"/>
        </w:rPr>
        <w:t>Reduction Amount</w:t>
      </w:r>
      <w:r>
        <w:rPr/>
        <w:t>" means, as of any day, the Mark-to-Market Value, whether positive or negative, of any position contributing to an Imbalance as of the previous day that is eliminated on the day of calculation and that is not a Liquidation Amount.</w:t>
      </w:r>
    </w:p>
    <w:p>
      <w:pPr>
        <w:pStyle w:val="FootnoteText"/>
        <w:ind w:firstLine="720" w:end="0"/>
        <w:rPr/>
      </w:pPr>
      <w:r>
        <w:rPr/>
      </w:r>
    </w:p>
    <w:p>
      <w:pPr>
        <w:pStyle w:val="FootnoteText"/>
        <w:ind w:firstLine="720" w:end="0"/>
        <w:rPr/>
      </w:pPr>
      <w:r>
        <w:rPr/>
        <w:t>"</w:t>
      </w:r>
      <w:r>
        <w:rPr>
          <w:u w:val="single"/>
        </w:rPr>
        <w:t>Reduction Date</w:t>
      </w:r>
      <w:r>
        <w:rPr/>
        <w:t>" means, with respect to any Reduction Amount, the date that is the last day of the term of the Firm Fuel Contract, Firm Power Contract or Financial Instrument, as applicable, that caused an Imbalance to be eliminated or reduced.  The Reduction Date with respect to any Reduction Amount is determined at the same time that such Reduction Amount is determined.</w:t>
      </w:r>
    </w:p>
    <w:p>
      <w:pPr>
        <w:pStyle w:val="FootnoteText"/>
        <w:ind w:firstLine="720" w:end="0"/>
        <w:rPr/>
      </w:pPr>
      <w:r>
        <w:rPr/>
      </w:r>
    </w:p>
    <w:p>
      <w:pPr>
        <w:pStyle w:val="FootnoteText"/>
        <w:ind w:firstLine="720" w:end="0"/>
        <w:rPr/>
      </w:pPr>
      <w:r>
        <w:rPr/>
        <w:t>"</w:t>
      </w:r>
      <w:r>
        <w:rPr>
          <w:u w:val="single"/>
        </w:rPr>
        <w:t>Satisfactory Security</w:t>
      </w:r>
      <w:r>
        <w:rPr/>
        <w:t>" means (i) a letter of credit, credit swap or other similar instrument, on a form reasonably acceptable to the Administrative Agent, from a Person that has a long-term unsecured debt rating on the date of issuance of the letter of credit of A- or higher by S&amp;P or A3 or higher by Moody's or (ii) other form of collateral acceptable to Cottonwood Energy and approved by the Technical Committee or the Majority Lenders in the case of any collateral to be provided in connection with the sale of Power or the purchase of Gas for 100% of the Project Capacity for a period of 18 months or greater.</w:t>
      </w:r>
    </w:p>
    <w:p>
      <w:pPr>
        <w:pStyle w:val="FootnoteText"/>
        <w:ind w:firstLine="720" w:end="0"/>
        <w:rPr/>
      </w:pPr>
      <w:r>
        <w:rPr/>
      </w:r>
    </w:p>
    <w:p>
      <w:pPr>
        <w:pStyle w:val="FootnoteText"/>
        <w:ind w:firstLine="720" w:end="0"/>
        <w:rPr/>
      </w:pPr>
      <w:r>
        <w:rPr/>
        <w:t>"</w:t>
      </w:r>
      <w:r>
        <w:rPr>
          <w:u w:val="single"/>
        </w:rPr>
        <w:t>Season</w:t>
      </w:r>
      <w:r>
        <w:rPr/>
        <w:t>" means the Summer Months, the Winter Months, the Nonsummer Months or the Nonwinter Months, as applicable.</w:t>
      </w:r>
    </w:p>
    <w:p>
      <w:pPr>
        <w:pStyle w:val="FootnoteText"/>
        <w:ind w:firstLine="720" w:end="0"/>
        <w:rPr/>
      </w:pPr>
      <w:r>
        <w:rPr/>
      </w:r>
    </w:p>
    <w:p>
      <w:pPr>
        <w:pStyle w:val="FootnoteText"/>
        <w:ind w:firstLine="720" w:end="0"/>
        <w:rPr/>
      </w:pPr>
      <w:r>
        <w:rPr/>
        <w:t>"</w:t>
      </w:r>
      <w:r>
        <w:rPr>
          <w:u w:val="single"/>
        </w:rPr>
        <w:t>Shortfall Amount</w:t>
      </w:r>
      <w:r>
        <w:rPr/>
        <w:t>" has the meaning ascribed to such term in Section 5(b) of this Exhibit.</w:t>
      </w:r>
    </w:p>
    <w:p>
      <w:pPr>
        <w:pStyle w:val="Normal"/>
        <w:ind w:firstLine="720" w:end="0"/>
        <w:rPr/>
      </w:pPr>
      <w:r>
        <w:rPr/>
      </w:r>
    </w:p>
    <w:p>
      <w:pPr>
        <w:pStyle w:val="Normal"/>
        <w:ind w:firstLine="720" w:end="0"/>
        <w:rPr/>
      </w:pPr>
      <w:r>
        <w:rPr/>
        <w:t>"</w:t>
      </w:r>
      <w:r>
        <w:rPr>
          <w:u w:val="single"/>
        </w:rPr>
        <w:t>Summer Months</w:t>
      </w:r>
      <w:r>
        <w:rPr/>
        <w:t>" means the months of June through and including August.</w:t>
      </w:r>
    </w:p>
    <w:p>
      <w:pPr>
        <w:pStyle w:val="Normal"/>
        <w:rPr/>
      </w:pPr>
      <w:r>
        <w:rPr/>
      </w:r>
    </w:p>
    <w:p>
      <w:pPr>
        <w:pStyle w:val="Normal"/>
        <w:ind w:firstLine="720" w:end="0"/>
        <w:rPr/>
      </w:pPr>
      <w:r>
        <w:rPr/>
        <w:t>"</w:t>
      </w:r>
      <w:r>
        <w:rPr>
          <w:u w:val="single"/>
        </w:rPr>
        <w:t>Summer Power Exposure</w:t>
      </w:r>
      <w:r>
        <w:rPr/>
        <w:t>" means all Power Imbalances during the Summer Months (expressed in MWh) times the Negative Summer Power Price Movement.</w:t>
      </w:r>
    </w:p>
    <w:p>
      <w:pPr>
        <w:pStyle w:val="FootnoteText"/>
        <w:ind w:firstLine="720" w:end="0"/>
        <w:rPr/>
      </w:pPr>
      <w:r>
        <w:rPr/>
      </w:r>
    </w:p>
    <w:p>
      <w:pPr>
        <w:pStyle w:val="FootnoteText"/>
        <w:ind w:firstLine="720" w:end="0"/>
        <w:rPr/>
      </w:pPr>
      <w:r>
        <w:rPr/>
        <w:t>"</w:t>
      </w:r>
      <w:r>
        <w:rPr>
          <w:u w:val="single"/>
        </w:rPr>
        <w:t>Train</w:t>
      </w:r>
      <w:r>
        <w:rPr/>
        <w:t>" shall have the meaning ascribed to such term in the EPC Agreement.</w:t>
      </w:r>
    </w:p>
    <w:p>
      <w:pPr>
        <w:pStyle w:val="FootnoteText"/>
        <w:ind w:firstLine="720" w:end="0"/>
        <w:rPr/>
      </w:pPr>
      <w:r>
        <w:rPr/>
      </w:r>
    </w:p>
    <w:p>
      <w:pPr>
        <w:pStyle w:val="FootnoteText"/>
        <w:ind w:firstLine="720" w:end="0"/>
        <w:rPr/>
      </w:pPr>
      <w:r>
        <w:rPr/>
        <w:t>"</w:t>
      </w:r>
      <w:r>
        <w:rPr>
          <w:u w:val="single"/>
        </w:rPr>
        <w:t>Train Substantial Completion Date</w:t>
      </w:r>
      <w:r>
        <w:rPr/>
        <w:t>" means, with respect to each Train, the date on which Train Substantial Completion shall occur with respect to such Train as contemplated in Section 11.1 of the EPC Agreement.  A Train Substantial Completion Date shall not be deemed to have occurred until such date has been confirmed by the Independent Engineer.</w:t>
      </w:r>
    </w:p>
    <w:p>
      <w:pPr>
        <w:pStyle w:val="FootnoteText"/>
        <w:ind w:firstLine="720" w:end="0"/>
        <w:rPr/>
      </w:pPr>
      <w:r>
        <w:rPr/>
      </w:r>
    </w:p>
    <w:p>
      <w:pPr>
        <w:pStyle w:val="FootnoteText"/>
        <w:ind w:firstLine="720" w:end="0"/>
        <w:rPr/>
      </w:pPr>
      <w:r>
        <w:rPr/>
        <w:t>"</w:t>
      </w:r>
      <w:r>
        <w:rPr>
          <w:u w:val="single"/>
        </w:rPr>
        <w:t>Transaction Start Date</w:t>
      </w:r>
      <w:r>
        <w:rPr/>
        <w:t>" means the first day of the twentieth calendar month prior to the later of the Anticipated Train Substantial Completion Date for the fourth Train to be completed under the EPC Agreement or the Guaranteed Train Completion Date for such Train.</w:t>
      </w:r>
    </w:p>
    <w:p>
      <w:pPr>
        <w:pStyle w:val="Normal"/>
        <w:rPr/>
      </w:pPr>
      <w:r>
        <w:rPr/>
      </w:r>
    </w:p>
    <w:p>
      <w:pPr>
        <w:pStyle w:val="Normal"/>
        <w:rPr/>
      </w:pPr>
      <w:r>
        <w:rPr/>
        <w:tab/>
        <w:t>"</w:t>
      </w:r>
      <w:r>
        <w:rPr>
          <w:u w:val="single"/>
        </w:rPr>
        <w:t>Winter Months</w:t>
      </w:r>
      <w:r>
        <w:rPr/>
        <w:t>" means the calendar months of November through and including March.</w:t>
      </w:r>
    </w:p>
    <w:p>
      <w:pPr>
        <w:pStyle w:val="Normal"/>
        <w:rPr/>
      </w:pPr>
      <w:r>
        <w:rPr/>
      </w:r>
    </w:p>
    <w:p>
      <w:pPr>
        <w:pStyle w:val="Normal"/>
        <w:ind w:firstLine="720" w:end="0"/>
        <w:rPr/>
      </w:pPr>
      <w:r>
        <w:rPr/>
        <w:t>"</w:t>
      </w:r>
      <w:r>
        <w:rPr>
          <w:u w:val="single"/>
        </w:rPr>
        <w:t>Winter Gas Exposure</w:t>
      </w:r>
      <w:r>
        <w:rPr/>
        <w:t>" means all Gas Imbalances during the Winter Months (expressed in MMbtu) times the Negative Winter Gas Price Movement.</w:t>
      </w:r>
    </w:p>
    <w:p>
      <w:pPr>
        <w:pStyle w:val="FootnoteText"/>
        <w:rPr/>
      </w:pPr>
      <w:r>
        <w:rPr/>
      </w:r>
    </w:p>
    <w:p>
      <w:pPr>
        <w:pStyle w:val="Normal"/>
        <w:numPr>
          <w:ilvl w:val="0"/>
          <w:numId w:val="7"/>
        </w:numPr>
        <w:tabs>
          <w:tab w:val="clear" w:pos="720"/>
        </w:tabs>
        <w:rPr/>
      </w:pPr>
      <w:r>
        <w:rPr>
          <w:u w:val="single"/>
        </w:rPr>
        <w:t>Energy Management Agreement; Management Services Agreement</w:t>
      </w:r>
      <w:r>
        <w:rPr/>
        <w:t>.  Pursuant to the EMA, contracts for the sale of Power, the purchase of Fuel Services and Financial Instruments will be effectuated by any or all of the following: (i) contracts between Cottonwood Energy and third-parties, (ii) contracts between Cottonwood Energy and Energy Manager, as principal, and (iii) contracts between Energy Manager, as agent for Cottonwood Energy, and third-parties.  Pursuant to the MSA, INA shall direct on behalf of Cottonwood Energy  the acquisition of Gas and Fuel Services for the Project and the sale and transmission of Power from the Project in accordance with the terms of the EMA, the MSA and this Exhibit.</w:t>
      </w:r>
    </w:p>
    <w:p>
      <w:pPr>
        <w:pStyle w:val="FootnoteText"/>
        <w:rPr/>
      </w:pPr>
      <w:r>
        <w:rPr/>
      </w:r>
    </w:p>
    <w:p>
      <w:pPr>
        <w:pStyle w:val="Normal"/>
        <w:numPr>
          <w:ilvl w:val="0"/>
          <w:numId w:val="7"/>
        </w:numPr>
        <w:rPr/>
      </w:pPr>
      <w:r>
        <w:rPr>
          <w:u w:val="single"/>
        </w:rPr>
        <w:t>Power Sales and Fuel Purchases.</w:t>
      </w:r>
    </w:p>
    <w:p>
      <w:pPr>
        <w:pStyle w:val="Normal"/>
        <w:tabs>
          <w:tab w:val="clear" w:pos="720"/>
          <w:tab w:val="left" w:pos="2160" w:leader="none"/>
        </w:tabs>
        <w:ind w:firstLine="720" w:end="0"/>
        <w:rPr/>
      </w:pPr>
      <w:r>
        <w:rPr/>
      </w:r>
    </w:p>
    <w:p>
      <w:pPr>
        <w:pStyle w:val="Normal"/>
        <w:numPr>
          <w:ilvl w:val="0"/>
          <w:numId w:val="2"/>
        </w:numPr>
        <w:tabs>
          <w:tab w:val="clear" w:pos="720"/>
        </w:tabs>
        <w:rPr/>
      </w:pPr>
      <w:r>
        <w:rPr>
          <w:u w:val="single"/>
        </w:rPr>
        <w:t>All Contracts in Compliance.</w:t>
      </w:r>
      <w:r>
        <w:rPr/>
        <w:t xml:space="preserve">  Cottonwood Energy shall not enter into any Power contract, Gas contract or Financial Instruments unless the entering into such transaction is in accordance with all of the criteria set forth in this Exhibit applicable to such transactions.</w:t>
      </w:r>
    </w:p>
    <w:p>
      <w:pPr>
        <w:pStyle w:val="Normal"/>
        <w:tabs>
          <w:tab w:val="clear" w:pos="720"/>
          <w:tab w:val="left" w:pos="2160" w:leader="none"/>
        </w:tabs>
        <w:ind w:firstLine="720" w:end="0"/>
        <w:rPr/>
      </w:pPr>
      <w:r>
        <w:rPr/>
      </w:r>
    </w:p>
    <w:p>
      <w:pPr>
        <w:pStyle w:val="Normal"/>
        <w:numPr>
          <w:ilvl w:val="0"/>
          <w:numId w:val="2"/>
        </w:numPr>
        <w:tabs>
          <w:tab w:val="clear" w:pos="720"/>
        </w:tabs>
        <w:rPr/>
      </w:pPr>
      <w:r>
        <w:rPr>
          <w:u w:val="single"/>
        </w:rPr>
        <w:t>Unit Contingent Contracts.</w:t>
      </w:r>
      <w:r>
        <w:rPr/>
        <w:t xml:space="preserve">  Cottonwood Energy may enter into sales of Power that is on a firm-price basis, but not firm-delivery basis, if (i) the Technical Committee approves such sales and (ii) the sales are for no more than one month from the date of execution.  If approved by the Technical Committee, such contracts shall be included as Firm Power Contracts for the purposes of complying with the provisions of this Exhibit.</w:t>
      </w:r>
    </w:p>
    <w:p>
      <w:pPr>
        <w:pStyle w:val="Normal"/>
        <w:tabs>
          <w:tab w:val="clear" w:pos="720"/>
          <w:tab w:val="left" w:pos="2160" w:leader="none"/>
        </w:tabs>
        <w:ind w:firstLine="720" w:end="0"/>
        <w:rPr/>
      </w:pPr>
      <w:r>
        <w:rPr/>
      </w:r>
    </w:p>
    <w:p>
      <w:pPr>
        <w:pStyle w:val="Normal"/>
        <w:numPr>
          <w:ilvl w:val="0"/>
          <w:numId w:val="2"/>
        </w:numPr>
        <w:tabs>
          <w:tab w:val="clear" w:pos="720"/>
        </w:tabs>
        <w:rPr/>
      </w:pPr>
      <w:r>
        <w:rPr>
          <w:u w:val="single"/>
        </w:rPr>
        <w:t>Interruptible Gas Supply.</w:t>
      </w:r>
      <w:r>
        <w:rPr/>
        <w:t xml:space="preserve">  Without the consent of the Technical Committee, Cottonwood Energy shall not enter into Gas contracts that provide for purchase of Gas by the Cottonwood Energy for non-firm delivery other than for customary provisions providing for force majeure interruptions.</w:t>
      </w:r>
    </w:p>
    <w:p>
      <w:pPr>
        <w:pStyle w:val="FootnoteText"/>
        <w:rPr/>
      </w:pPr>
      <w:r>
        <w:rPr/>
      </w:r>
    </w:p>
    <w:p>
      <w:pPr>
        <w:pStyle w:val="Normal"/>
        <w:numPr>
          <w:ilvl w:val="0"/>
          <w:numId w:val="7"/>
        </w:numPr>
        <w:tabs>
          <w:tab w:val="clear" w:pos="720"/>
        </w:tabs>
        <w:rPr/>
      </w:pPr>
      <w:r>
        <w:rPr>
          <w:u w:val="single"/>
        </w:rPr>
        <w:t>Capacity Limitations on Power Sales and Fuel Purchases.</w:t>
      </w:r>
    </w:p>
    <w:p>
      <w:pPr>
        <w:pStyle w:val="Normal"/>
        <w:rPr/>
      </w:pPr>
      <w:r>
        <w:rPr/>
      </w:r>
    </w:p>
    <w:p>
      <w:pPr>
        <w:pStyle w:val="Normal"/>
        <w:numPr>
          <w:ilvl w:val="1"/>
          <w:numId w:val="4"/>
        </w:numPr>
        <w:tabs>
          <w:tab w:val="clear" w:pos="720"/>
        </w:tabs>
        <w:rPr/>
      </w:pPr>
      <w:r>
        <w:rPr>
          <w:u w:val="single"/>
        </w:rPr>
        <w:t>Sales of Power and Purchases of Fuel Prior to Transaction Start Date</w:t>
      </w:r>
      <w:r>
        <w:rPr/>
        <w:t>.  Prior to the Transaction Start Date, Cottonwood Energy shall not enter into any Power contracts, Gas contracts or Financial Instruments other than Power contracts, Gas contracts and Financial Instruments in existence on Financial Closing, except for those specifically approved by the Technical Committee which otherwise comply with the provisions of this Exhibit.</w:t>
      </w:r>
    </w:p>
    <w:p>
      <w:pPr>
        <w:pStyle w:val="FootnoteText"/>
        <w:rPr/>
      </w:pPr>
      <w:r>
        <w:rPr/>
      </w:r>
    </w:p>
    <w:p>
      <w:pPr>
        <w:pStyle w:val="Normal"/>
        <w:numPr>
          <w:ilvl w:val="1"/>
          <w:numId w:val="4"/>
        </w:numPr>
        <w:tabs>
          <w:tab w:val="clear" w:pos="720"/>
        </w:tabs>
        <w:rPr/>
      </w:pPr>
      <w:r>
        <w:rPr>
          <w:u w:val="single"/>
        </w:rPr>
        <w:t>Hourly, Day-Ahead and Non-Firm Sales and Purchases.</w:t>
      </w:r>
      <w:r>
        <w:rPr/>
        <w:t xml:space="preserve">  Notwithstanding any of the provisions of Section 4(c) through Section 4(h) of this Exhibit, Cottonwood Energy may commit the Project to i) sales of Power on an hourly or day-ahead  basis up to the available Project capacity in the reasonable judgment of Cottonwood Energy, less the electrical output committed to other Power contracts and ii) purchases of Gas on an hourly or day-ahead basis up to the available Project capacity in the reasonable judgment of Cottonwood Energy, less the amount committed to other Gas contracts.  </w:t>
      </w:r>
    </w:p>
    <w:p>
      <w:pPr>
        <w:pStyle w:val="Normal"/>
        <w:rPr/>
      </w:pPr>
      <w:r>
        <w:rPr/>
      </w:r>
    </w:p>
    <w:p>
      <w:pPr>
        <w:pStyle w:val="Normal"/>
        <w:numPr>
          <w:ilvl w:val="1"/>
          <w:numId w:val="4"/>
        </w:numPr>
        <w:tabs>
          <w:tab w:val="clear" w:pos="720"/>
        </w:tabs>
        <w:rPr/>
      </w:pPr>
      <w:r>
        <w:rPr>
          <w:u w:val="single"/>
        </w:rPr>
        <w:t>Sales of Power and Purchases of Fuel Prior to Train Substantial Completion Date for the Fourth Train</w:t>
      </w:r>
      <w:r>
        <w:rPr/>
        <w:t>. In addition to the amounts specified in Sections 4(d), 4(e) and 4(f) of this Exhibit, during the period commencing on the Transaction Start Date but prior to the occurrence of the Train Substantial Completion Date for the Fourth Train to be completed under the EPC Agreement:</w:t>
      </w:r>
    </w:p>
    <w:p>
      <w:pPr>
        <w:pStyle w:val="Normal"/>
        <w:tabs>
          <w:tab w:val="clear" w:pos="720"/>
          <w:tab w:val="left" w:pos="2160" w:leader="none"/>
        </w:tabs>
        <w:rPr/>
      </w:pPr>
      <w:r>
        <w:rPr/>
      </w:r>
    </w:p>
    <w:p>
      <w:pPr>
        <w:pStyle w:val="Normal"/>
        <w:numPr>
          <w:ilvl w:val="2"/>
          <w:numId w:val="4"/>
        </w:numPr>
        <w:tabs>
          <w:tab w:val="clear" w:pos="720"/>
        </w:tabs>
        <w:rPr/>
      </w:pPr>
      <w:r>
        <w:rPr/>
        <w:t xml:space="preserve">Cottonwood Energy may enter into Power contracts, Gas contracts and Financial Instruments with a term that commences no sooner than the first day of the calendar month commencing ten months after the later of the Anticipated Train Substantial Completion Date for the fourth Train to be completed under the EPC Agreement or the Guaranteed Train Completion Date for such Train; and </w:t>
      </w:r>
    </w:p>
    <w:p>
      <w:pPr>
        <w:pStyle w:val="Normal"/>
        <w:rPr/>
      </w:pPr>
      <w:r>
        <w:rPr/>
      </w:r>
    </w:p>
    <w:p>
      <w:pPr>
        <w:pStyle w:val="Normal"/>
        <w:numPr>
          <w:ilvl w:val="2"/>
          <w:numId w:val="4"/>
        </w:numPr>
        <w:tabs>
          <w:tab w:val="clear" w:pos="720"/>
        </w:tabs>
        <w:rPr/>
      </w:pPr>
      <w:r>
        <w:rPr/>
        <w:t>such Power contracts, Gas contracts or Financial Instruments shall not provide for deliveries by Cottonwood Energy of Power or purchases by Cottonwood Energy of Gas in excess of the aggregate Net Train Electrical Output (Guaranteed) for each of the Trains to be completed under the EPC Agreement or the electrical output of the Trains completed under the EPC Agreement as demonstrated in the Performance Tests for the Trains that have achieved Train Substantial Completion minus the largest of (x) the Net Train Electrical Output (Guaranteed) for any of such Trains or (y) the largest electrical output of any of such Trains completed under the EPC Agreement as demonstrated in the Performance Tests for such Trains.</w:t>
      </w:r>
    </w:p>
    <w:p>
      <w:pPr>
        <w:pStyle w:val="FootnoteText"/>
        <w:rPr/>
      </w:pPr>
      <w:r>
        <w:rPr/>
      </w:r>
    </w:p>
    <w:p>
      <w:pPr>
        <w:pStyle w:val="Normal"/>
        <w:numPr>
          <w:ilvl w:val="1"/>
          <w:numId w:val="4"/>
        </w:numPr>
        <w:tabs>
          <w:tab w:val="clear" w:pos="720"/>
        </w:tabs>
        <w:rPr/>
      </w:pPr>
      <w:r>
        <w:rPr>
          <w:u w:val="single"/>
        </w:rPr>
        <w:t>Sales of Power and Purchases of Fuel After Train Substantial Completion Date for the First Train but Before Train Substantial Completion Date for the Second Train</w:t>
      </w:r>
      <w:r>
        <w:rPr/>
        <w:t>.  After the occurrence of the Train Substantial Completion Date for the first Train to be completed under the EPC Agreement but before the Train Substantial Completion Date for the second Train to be completed under the EPC Agreement:</w:t>
      </w:r>
    </w:p>
    <w:p>
      <w:pPr>
        <w:pStyle w:val="Normal"/>
        <w:rPr/>
      </w:pPr>
      <w:r>
        <w:rPr/>
      </w:r>
    </w:p>
    <w:p>
      <w:pPr>
        <w:pStyle w:val="Normal"/>
        <w:numPr>
          <w:ilvl w:val="2"/>
          <w:numId w:val="4"/>
        </w:numPr>
        <w:rPr/>
      </w:pPr>
      <w:r>
        <w:rPr/>
        <w:t>Cottonwood Energy may enter into Power contracts, Gas contracts and  Financial Instruments with a term that commences no sooner than the later of the Anticipated Train Substantial Completion Date for the third Train to be completed under the EPC Agreement or the Guaranteed Train Completion Date for such Train; and</w:t>
      </w:r>
    </w:p>
    <w:p>
      <w:pPr>
        <w:pStyle w:val="Normal"/>
        <w:rPr/>
      </w:pPr>
      <w:r>
        <w:rPr/>
      </w:r>
    </w:p>
    <w:p>
      <w:pPr>
        <w:pStyle w:val="Normal"/>
        <w:numPr>
          <w:ilvl w:val="2"/>
          <w:numId w:val="4"/>
        </w:numPr>
        <w:rPr/>
      </w:pPr>
      <w:r>
        <w:rPr/>
        <w:t>Cottonwood Energy shall not enter into Power contracts, Gas contracts or Financial Instruments that provide for deliveries by Cottonwood Energy of Power or purchases by Cottonwood Energy of Gas in excess of the lesser of (x) the electrical output of the one Train completed under the EPC Agreement as demonstrated in the Performance Tests for such Train or (y) the Net Train Electrical Output (Guaranteed) for any of the Trains remaining to be completed under the EPC Agreement.</w:t>
      </w:r>
    </w:p>
    <w:p>
      <w:pPr>
        <w:pStyle w:val="Normal"/>
        <w:rPr/>
      </w:pPr>
      <w:r>
        <w:rPr/>
      </w:r>
    </w:p>
    <w:p>
      <w:pPr>
        <w:pStyle w:val="Normal"/>
        <w:numPr>
          <w:ilvl w:val="1"/>
          <w:numId w:val="4"/>
        </w:numPr>
        <w:tabs>
          <w:tab w:val="clear" w:pos="720"/>
        </w:tabs>
        <w:rPr/>
      </w:pPr>
      <w:r>
        <w:rPr>
          <w:u w:val="single"/>
        </w:rPr>
        <w:t>Sales of Power and Purchases of Fuel After Train Substantial Completion Date for the Second Train but Before Train Substantial Completion Date for the Third Train</w:t>
      </w:r>
      <w:r>
        <w:rPr/>
        <w:t>.  After the occurrence of the Train Substantial Completion Date for the second Train to be completed under the EPC Agreement but before the Train Substantial Completion Date for the third Train to be completed under the EPC Agreement:</w:t>
      </w:r>
    </w:p>
    <w:p>
      <w:pPr>
        <w:pStyle w:val="Normal"/>
        <w:ind w:start="720" w:end="0"/>
        <w:rPr/>
      </w:pPr>
      <w:r>
        <w:rPr/>
      </w:r>
    </w:p>
    <w:p>
      <w:pPr>
        <w:pStyle w:val="Normal"/>
        <w:numPr>
          <w:ilvl w:val="2"/>
          <w:numId w:val="4"/>
        </w:numPr>
        <w:rPr/>
      </w:pPr>
      <w:r>
        <w:rPr/>
        <w:t>Cottonwood Energy may enter into Power contracts, Gas contracts and Financial Instruments with a term that commences immediately on Train Substantial Completion Date for the second Train completed under the EPC Agreement but such Power contracts, Gas contracts and Financial Instruments may not provide for deliveries by Cottonwood Energy of Power or purchase by Cottonwood Energy of Gas in excess of the electrical output of the completed Train that has lowest of electrical output, as demonstrated in the Performance Tests, of the two completed Trains; and</w:t>
      </w:r>
    </w:p>
    <w:p>
      <w:pPr>
        <w:pStyle w:val="Normal"/>
        <w:ind w:start="720" w:end="0"/>
        <w:rPr/>
      </w:pPr>
      <w:r>
        <w:rPr/>
      </w:r>
    </w:p>
    <w:p>
      <w:pPr>
        <w:pStyle w:val="Normal"/>
        <w:numPr>
          <w:ilvl w:val="2"/>
          <w:numId w:val="4"/>
        </w:numPr>
        <w:rPr/>
      </w:pPr>
      <w:r>
        <w:rPr/>
        <w:t xml:space="preserve">Cottonwood Energy may enter into Power contracts, Gas contracts and Financial Instruments with a term that commences no sooner than the later of the Anticipated Train Substantial Completion Date for the fourth Train to be completed under the EPC Agreement or the Guaranteed Train Completion Date for such Train but such Power contracts, Gas contracts and Financial Instruments may not provide for deliveries by Cottonwood Energy of Power or purchases by Cottonwood Energy of Gas in excess of the (x) aggregate of the electrical output of the two completed Trains as demonstrated in the Performance Tests for such Trains </w:t>
      </w:r>
      <w:r>
        <w:rPr>
          <w:i/>
        </w:rPr>
        <w:t>plus</w:t>
      </w:r>
      <w:r>
        <w:rPr/>
        <w:t xml:space="preserve"> (y) the lowest Net Train Electrical Output (Guaranteed) of the two Trains remaining to be completed under the EPC Agreement </w:t>
      </w:r>
      <w:r>
        <w:rPr>
          <w:i/>
        </w:rPr>
        <w:t>minus</w:t>
      </w:r>
      <w:r>
        <w:rPr/>
        <w:t xml:space="preserve"> (z) the greater of (I) the electrical output of the completed Train that has been completed under the EPC Agreement that has the highest electrical output as demonstrated in the Performance Tests for such Train or (II) the highest Net Train Electrical Output (Guaranteed) for the Trains remaining to be completed under the EPC Agreement.</w:t>
      </w:r>
    </w:p>
    <w:p>
      <w:pPr>
        <w:pStyle w:val="Normal"/>
        <w:ind w:start="720" w:end="0"/>
        <w:rPr/>
      </w:pPr>
      <w:r>
        <w:rPr/>
      </w:r>
    </w:p>
    <w:p>
      <w:pPr>
        <w:pStyle w:val="Normal"/>
        <w:numPr>
          <w:ilvl w:val="1"/>
          <w:numId w:val="4"/>
        </w:numPr>
        <w:tabs>
          <w:tab w:val="clear" w:pos="720"/>
        </w:tabs>
        <w:rPr/>
      </w:pPr>
      <w:r>
        <w:rPr>
          <w:u w:val="single"/>
        </w:rPr>
        <w:t>Sales of Power and Purchase of Fuel After Train Substantial Completion Date for the Third Train but Before Train Substantial Completion Date for the Fourth Train</w:t>
      </w:r>
      <w:r>
        <w:rPr/>
        <w:t>.  After the occurrence of the Train Substantial Completion Date for the third Train to be completed under the EPC Agreement but before the Train Substantial Completion Date for the fourth Train to be completed under the EPC Agreement Cottonwood Energy may enter into Power contracts, Gas contracts and Financial Instruments with a term that commences immediately on Train Substantial Completion Date for the third Train completed under the EPC Agreement but such Power contracts, Gas contracts and Financial Instruments may not provide for deliveries by Cottonwood Energy of Power or purchases by Cottonwood Energy of Gas, as applicable, in excess of the electrical output of the two completed Trains that have lowest of electrical output, as demonstrated in the Performance Tests, of the three completed Trains.</w:t>
      </w:r>
    </w:p>
    <w:p>
      <w:pPr>
        <w:pStyle w:val="Normal"/>
        <w:ind w:start="720" w:end="0"/>
        <w:rPr/>
      </w:pPr>
      <w:r>
        <w:rPr/>
      </w:r>
    </w:p>
    <w:p>
      <w:pPr>
        <w:pStyle w:val="Normal"/>
        <w:numPr>
          <w:ilvl w:val="1"/>
          <w:numId w:val="4"/>
        </w:numPr>
        <w:tabs>
          <w:tab w:val="clear" w:pos="720"/>
        </w:tabs>
        <w:rPr/>
      </w:pPr>
      <w:r>
        <w:rPr>
          <w:u w:val="single"/>
        </w:rPr>
        <w:t>Sales of Power and Purchases of Fuel After Train Substantial Completion Date for all of Trains but Prior to the Effective Date of the First Annual Operating Budget</w:t>
      </w:r>
      <w:r>
        <w:rPr/>
        <w:t>.  After the occurrence of the Train Substantial Completion Date for all of Trains to be completed under the EPC Agreement but prior to the effective date of the First Annual Operating Budget, Cottonwood Energy shall not enter into Power contracts, Gas contracts or Financial Instruments providing for deliveries by Cottonwood Energy of MW or purchases by Cottonwood Energy of Fuel in excess of:</w:t>
      </w:r>
    </w:p>
    <w:p>
      <w:pPr>
        <w:pStyle w:val="FootnoteText"/>
        <w:rPr/>
      </w:pPr>
      <w:r>
        <w:rPr/>
      </w:r>
    </w:p>
    <w:p>
      <w:pPr>
        <w:pStyle w:val="Normal"/>
        <w:numPr>
          <w:ilvl w:val="2"/>
          <w:numId w:val="4"/>
        </w:numPr>
        <w:tabs>
          <w:tab w:val="clear" w:pos="720"/>
        </w:tabs>
        <w:rPr/>
      </w:pPr>
      <w:r>
        <w:rPr/>
        <w:t>the aggregate electrical output of each of the Trains in the Project, as demonstrated in the Performance Tests for each of such Trains minus</w:t>
      </w:r>
    </w:p>
    <w:p>
      <w:pPr>
        <w:pStyle w:val="Normal"/>
        <w:rPr/>
      </w:pPr>
      <w:r>
        <w:rPr/>
      </w:r>
    </w:p>
    <w:p>
      <w:pPr>
        <w:pStyle w:val="Normal"/>
        <w:numPr>
          <w:ilvl w:val="2"/>
          <w:numId w:val="4"/>
        </w:numPr>
        <w:tabs>
          <w:tab w:val="clear" w:pos="720"/>
        </w:tabs>
        <w:rPr/>
      </w:pPr>
      <w:r>
        <w:rPr/>
        <w:t>the electrical output of the Train that has the highest of electrical outputs, as demonstrated in the Performance Tests for such Trains.</w:t>
      </w:r>
    </w:p>
    <w:p>
      <w:pPr>
        <w:pStyle w:val="FootnoteText"/>
        <w:rPr/>
      </w:pPr>
      <w:r>
        <w:rPr/>
      </w:r>
    </w:p>
    <w:p>
      <w:pPr>
        <w:pStyle w:val="Normal"/>
        <w:numPr>
          <w:ilvl w:val="1"/>
          <w:numId w:val="4"/>
        </w:numPr>
        <w:tabs>
          <w:tab w:val="clear" w:pos="720"/>
        </w:tabs>
        <w:rPr/>
      </w:pPr>
      <w:r>
        <w:rPr>
          <w:u w:val="single"/>
        </w:rPr>
        <w:t>Sales of Power and Purchases of Fuel After the Effective Date of the First Annual Operating Budget</w:t>
      </w:r>
      <w:r>
        <w:rPr/>
        <w:t>. During the period commencing on the effective date of the First Annual Operating Budget and ending on the effective date of the next succeeding Annual Operating Budget, and for each period during the effectiveness of an Annual Operating Budget thereafter, Cottonwood Energy shall not enter into Power contracts, Gas contracts or Financial Instruments for MW in excess of:</w:t>
      </w:r>
    </w:p>
    <w:p>
      <w:pPr>
        <w:pStyle w:val="FootnoteText"/>
        <w:rPr/>
      </w:pPr>
      <w:r>
        <w:rPr/>
      </w:r>
    </w:p>
    <w:p>
      <w:pPr>
        <w:pStyle w:val="Normal"/>
        <w:numPr>
          <w:ilvl w:val="2"/>
          <w:numId w:val="4"/>
        </w:numPr>
        <w:tabs>
          <w:tab w:val="clear" w:pos="720"/>
        </w:tabs>
        <w:rPr/>
      </w:pPr>
      <w:r>
        <w:rPr/>
        <w:t xml:space="preserve">the aggregate electrical output of each of the Trains in the Project, as such electrical output is determined by Cottonwood Energy for each such Train and approved by the Technical Committee in consultation with the Independent Engineer in conjunction with the preparation of such Annual Operating Budget; </w:t>
      </w:r>
      <w:r>
        <w:rPr>
          <w:i/>
        </w:rPr>
        <w:t>minus</w:t>
      </w:r>
    </w:p>
    <w:p>
      <w:pPr>
        <w:pStyle w:val="FootnoteText"/>
        <w:rPr/>
      </w:pPr>
      <w:r>
        <w:rPr/>
      </w:r>
    </w:p>
    <w:p>
      <w:pPr>
        <w:pStyle w:val="Normal"/>
        <w:numPr>
          <w:ilvl w:val="2"/>
          <w:numId w:val="4"/>
        </w:numPr>
        <w:tabs>
          <w:tab w:val="clear" w:pos="720"/>
        </w:tabs>
        <w:rPr/>
      </w:pPr>
      <w:r>
        <w:rPr/>
        <w:t>the electrical output of the Train that has the highest electrical outputs, as such electrical output is determined by Cottonwood Energy for each such Train and approved by the Technical Committee in consultation with the Independent Engineer in conjunction with the preparation of such Annual Operating Budget.</w:t>
      </w:r>
    </w:p>
    <w:p>
      <w:pPr>
        <w:pStyle w:val="FootnoteText"/>
        <w:rPr/>
      </w:pPr>
      <w:r>
        <w:rPr/>
      </w:r>
    </w:p>
    <w:p>
      <w:pPr>
        <w:pStyle w:val="Normal"/>
        <w:numPr>
          <w:ilvl w:val="1"/>
          <w:numId w:val="4"/>
        </w:numPr>
        <w:tabs>
          <w:tab w:val="clear" w:pos="720"/>
        </w:tabs>
        <w:rPr/>
      </w:pPr>
      <w:r>
        <w:rPr>
          <w:u w:val="single"/>
        </w:rPr>
        <w:t>Measurement Dates.</w:t>
      </w:r>
      <w:r>
        <w:rPr/>
        <w:t xml:space="preserve">  Cottonwood Energy shall be deemed to be in compliance with the requirements of this Section 4 of this Exhibit with respect to any Power contracts if, at the time of entering into such Power contracts, it is in compliance with the applicable provisions of this Section 4 of this Exhibit,  regardless of subsequent events or circumstances.</w:t>
      </w:r>
    </w:p>
    <w:p>
      <w:pPr>
        <w:pStyle w:val="Normal"/>
        <w:rPr>
          <w:u w:val="single"/>
        </w:rPr>
      </w:pPr>
      <w:r>
        <w:rPr>
          <w:u w:val="single"/>
        </w:rPr>
      </w:r>
    </w:p>
    <w:p>
      <w:pPr>
        <w:pStyle w:val="Normal"/>
        <w:numPr>
          <w:ilvl w:val="1"/>
          <w:numId w:val="4"/>
        </w:numPr>
        <w:tabs>
          <w:tab w:val="clear" w:pos="720"/>
        </w:tabs>
        <w:rPr/>
      </w:pPr>
      <w:r>
        <w:rPr>
          <w:u w:val="single"/>
        </w:rPr>
        <w:t>Planned Outages.</w:t>
      </w:r>
      <w:r>
        <w:rPr/>
        <w:t xml:space="preserve">  For purposes of determining the available capacity of any train for purposes of this Section 4 of this Exhibit within the period ending on the last day of the twelfth month following the date of measurement, a Train will not be considered available for dispatch during such period (thus reducing the electrical output available for dispatch) during scheduled maintenance as set forth in the currently effective Capital Budget unless the maintenance can be scheduled during off-peak hours and the Cottonwood Energy reasonably determines that the maintenance will not cause the Train to be unavailable for dispatch during peak hours.</w:t>
      </w:r>
    </w:p>
    <w:p>
      <w:pPr>
        <w:pStyle w:val="Normal"/>
        <w:rPr/>
      </w:pPr>
      <w:r>
        <w:rPr/>
      </w:r>
    </w:p>
    <w:p>
      <w:pPr>
        <w:pStyle w:val="Normal"/>
        <w:numPr>
          <w:ilvl w:val="1"/>
          <w:numId w:val="4"/>
        </w:numPr>
        <w:tabs>
          <w:tab w:val="clear" w:pos="720"/>
        </w:tabs>
        <w:rPr/>
      </w:pPr>
      <w:r>
        <w:rPr>
          <w:u w:val="single"/>
        </w:rPr>
        <w:t>Heat Rate Conversions.</w:t>
      </w:r>
      <w:r>
        <w:rPr/>
        <w:t xml:space="preserve">  For purposes of determining the limitations on Gas  purchases under this Section 4 of this Exhibit (to be expressed in MMBtu), the Net Train Electrical Output (Guaranteed) or the tested electrical output of any Train, as applicable, shall be divided by the Heat Rate and multiplied by 1,000.</w:t>
      </w:r>
    </w:p>
    <w:p>
      <w:pPr>
        <w:pStyle w:val="Normal"/>
        <w:rPr/>
      </w:pPr>
      <w:r>
        <w:rPr/>
      </w:r>
    </w:p>
    <w:p>
      <w:pPr>
        <w:pStyle w:val="Normal"/>
        <w:numPr>
          <w:ilvl w:val="1"/>
          <w:numId w:val="4"/>
        </w:numPr>
        <w:tabs>
          <w:tab w:val="clear" w:pos="720"/>
        </w:tabs>
        <w:rPr/>
      </w:pPr>
      <w:r>
        <w:rPr>
          <w:u w:val="single"/>
        </w:rPr>
        <w:t>ISO Conditions.</w:t>
      </w:r>
      <w:r>
        <w:rPr/>
        <w:t xml:space="preserve">  For purposes of determining the electrical output of any Train, the output shall be adjusted based on ISO conditions.</w:t>
      </w:r>
    </w:p>
    <w:p>
      <w:pPr>
        <w:pStyle w:val="FootnoteText"/>
        <w:rPr/>
      </w:pPr>
      <w:r>
        <w:rPr/>
      </w:r>
    </w:p>
    <w:p>
      <w:pPr>
        <w:pStyle w:val="Normal"/>
        <w:numPr>
          <w:ilvl w:val="0"/>
          <w:numId w:val="7"/>
        </w:numPr>
        <w:rPr/>
      </w:pPr>
      <w:r>
        <w:rPr>
          <w:u w:val="single"/>
        </w:rPr>
        <w:t>Credit Limits</w:t>
      </w:r>
      <w:r>
        <w:rPr/>
        <w:t xml:space="preserve">.  </w:t>
      </w:r>
    </w:p>
    <w:p>
      <w:pPr>
        <w:pStyle w:val="FootnoteText"/>
        <w:ind w:firstLine="720" w:start="720" w:end="0"/>
        <w:rPr/>
      </w:pPr>
      <w:r>
        <w:rPr/>
      </w:r>
    </w:p>
    <w:p>
      <w:pPr>
        <w:pStyle w:val="Normal"/>
        <w:numPr>
          <w:ilvl w:val="1"/>
          <w:numId w:val="7"/>
        </w:numPr>
        <w:tabs>
          <w:tab w:val="clear" w:pos="720"/>
        </w:tabs>
        <w:rPr/>
      </w:pPr>
      <w:r>
        <w:rPr>
          <w:u w:val="single"/>
        </w:rPr>
        <w:t>Credit Ratings of Counterparties.</w:t>
      </w:r>
      <w:r>
        <w:rPr/>
        <w:t xml:space="preserve">  </w:t>
      </w:r>
    </w:p>
    <w:p>
      <w:pPr>
        <w:pStyle w:val="Normal"/>
        <w:ind w:start="720" w:end="0"/>
        <w:rPr/>
      </w:pPr>
      <w:r>
        <w:rPr/>
      </w:r>
    </w:p>
    <w:p>
      <w:pPr>
        <w:pStyle w:val="Normal"/>
        <w:numPr>
          <w:ilvl w:val="2"/>
          <w:numId w:val="7"/>
        </w:numPr>
        <w:tabs>
          <w:tab w:val="clear" w:pos="720"/>
        </w:tabs>
        <w:rPr/>
      </w:pPr>
      <w:r>
        <w:rPr/>
        <w:t>Except as otherwise provided in Section 5(a), Cottonwood Energy shall not enter into any contracts for the purchase or sale of Power or Gas, or any Financial Instrument with any counterparty that is not rated by either S&amp;P or Moody's or having at the time of the execution of such contract a Below Investment Grade Rating unless Satisfactory Security is provided to Cottonwood Energy in an amount acceptable to the Technical Committee. If a counterparty with such credit rating provides Satisfactory Security, it shall be deemed to have a long-term unsecured debt rating, for purposes of Section 5(a) of A- by S&amp;P and A3 by Moody’s.</w:t>
      </w:r>
    </w:p>
    <w:p>
      <w:pPr>
        <w:pStyle w:val="Normal"/>
        <w:rPr/>
      </w:pPr>
      <w:r>
        <w:rPr/>
      </w:r>
    </w:p>
    <w:p>
      <w:pPr>
        <w:pStyle w:val="Normal"/>
        <w:numPr>
          <w:ilvl w:val="2"/>
          <w:numId w:val="7"/>
        </w:numPr>
        <w:tabs>
          <w:tab w:val="clear" w:pos="720"/>
        </w:tabs>
        <w:rPr/>
      </w:pPr>
      <w:r>
        <w:rPr/>
        <w:t>From time to time but no more frequently than once in any calendar quarter, Cottonwood Energy may request that the Technical Committee approve certain limits for transactions with a counterparty that is not rated by either S&amp;P or Moody's or has a Below Investment Grade Rating without receiving any security for performance from such counterparty.  If a counterparty is unrated, then the Technical Committee's approval shall provide a deemed or "shadow" rating to the extent it is deemed to be at least investment grade.</w:t>
      </w:r>
    </w:p>
    <w:p>
      <w:pPr>
        <w:pStyle w:val="Normal"/>
        <w:rPr/>
      </w:pPr>
      <w:r>
        <w:rPr/>
      </w:r>
    </w:p>
    <w:p>
      <w:pPr>
        <w:pStyle w:val="Normal"/>
        <w:numPr>
          <w:ilvl w:val="2"/>
          <w:numId w:val="7"/>
        </w:numPr>
        <w:tabs>
          <w:tab w:val="clear" w:pos="720"/>
        </w:tabs>
        <w:rPr/>
      </w:pPr>
      <w:r>
        <w:rPr/>
        <w:t>Cottonwood Energy may enter into any contracts for the purchase or sale of Power or Gas or any Financial Instrument with a counterparty having a Below Investment Grade Rating, subject to the limits approved by the Technical Committee under Section 5(a)(ii), of (i) up to thirty-four percent of the Capacity of the Project on an hourly and day-ahead basis and (ii) of up to 5% of the Capacity of the Project sold on an hourly or day-ahead basis for any consecutive forty-five-day period.  The limits approved by the Technical Committee will be subject to review by the Technical Committee in connection with each Annual Operating Budget and at other times reasonably requested by the Technical Committee.</w:t>
      </w:r>
    </w:p>
    <w:p>
      <w:pPr>
        <w:pStyle w:val="Normal"/>
        <w:ind w:start="1440" w:end="0"/>
        <w:rPr/>
      </w:pPr>
      <w:r>
        <w:rPr/>
      </w:r>
    </w:p>
    <w:p>
      <w:pPr>
        <w:pStyle w:val="Normal"/>
        <w:numPr>
          <w:ilvl w:val="2"/>
          <w:numId w:val="7"/>
        </w:numPr>
        <w:tabs>
          <w:tab w:val="clear" w:pos="720"/>
        </w:tabs>
        <w:rPr/>
      </w:pPr>
      <w:r>
        <w:rPr/>
        <w:t xml:space="preserve">Except with respect to purchases and sales of Power or Gas and Financial Instruments with the Energy Manager and except as otherwise provided in Section 5(a), Cottonwood Energy shall not enter into any contracts for the purchase or sale of Power or Gas or Financial Instruments with any counterparty having a long-term unsecured debt rating of S&amp;P and Moody's (or either if not rated by both) as set forth in the following chart of more than the following percentages of the Capacity of the Project if Power is sold to such counterparty or Capacity of the Project if Gas is purchased from such counterparty unless Satisfactory Security is provided to Cottonwood Energy: </w:t>
      </w:r>
    </w:p>
    <w:p>
      <w:pPr>
        <w:pStyle w:val="BodyText"/>
        <w:rPr/>
      </w:pPr>
      <w:r>
        <w:rPr/>
      </w:r>
      <w:r>
        <mc:AlternateContent>
          <mc:Choice Requires="wps">
            <w:drawing>
              <wp:anchor behindDoc="0" distT="0" distB="0" distL="114300" distR="114300" simplePos="0" locked="0" layoutInCell="0" allowOverlap="1" relativeHeight="2">
                <wp:simplePos x="0" y="0"/>
                <wp:positionH relativeFrom="page">
                  <wp:posOffset>1192530</wp:posOffset>
                </wp:positionH>
                <wp:positionV relativeFrom="paragraph">
                  <wp:posOffset>355600</wp:posOffset>
                </wp:positionV>
                <wp:extent cx="6018530" cy="2870835"/>
                <wp:effectExtent l="0" t="0" r="0" b="0"/>
                <wp:wrapSquare wrapText="bothSides"/>
                <wp:docPr id="1" name="Frame1"/>
                <a:graphic xmlns:a="http://schemas.openxmlformats.org/drawingml/2006/main">
                  <a:graphicData uri="http://schemas.microsoft.com/office/word/2010/wordprocessingShape">
                    <wps:wsp>
                      <wps:cNvSpPr txBox="1"/>
                      <wps:spPr>
                        <a:xfrm>
                          <a:off x="0" y="0"/>
                          <a:ext cx="6018530" cy="2870835"/>
                        </a:xfrm>
                        <a:prstGeom prst="rect"/>
                        <a:solidFill>
                          <a:srgbClr val="FFFFFF">
                            <a:alpha val="0"/>
                          </a:srgbClr>
                        </a:solidFill>
                      </wps:spPr>
                      <wps:txbx>
                        <w:txbxContent>
                          <w:tbl>
                            <w:tblPr>
                              <w:tblW w:w="9478" w:type="dxa"/>
                              <w:jc w:val="start"/>
                              <w:tblInd w:w="115" w:type="dxa"/>
                              <w:tblLayout w:type="fixed"/>
                              <w:tblCellMar>
                                <w:top w:w="0" w:type="dxa"/>
                                <w:start w:w="115" w:type="dxa"/>
                                <w:bottom w:w="0" w:type="dxa"/>
                                <w:end w:w="115" w:type="dxa"/>
                              </w:tblCellMar>
                            </w:tblPr>
                            <w:tblGrid>
                              <w:gridCol w:w="1645"/>
                              <w:gridCol w:w="2340"/>
                              <w:gridCol w:w="2700"/>
                              <w:gridCol w:w="2793"/>
                            </w:tblGrid>
                            <w:tr>
                              <w:trPr/>
                              <w:tc>
                                <w:tcPr>
                                  <w:tcW w:w="1645"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u w:val="none"/>
                                    </w:rPr>
                                  </w:pPr>
                                  <w:r>
                                    <w:rPr>
                                      <w:b w:val="false"/>
                                      <w:u w:val="none"/>
                                    </w:rPr>
                                    <w:t>Ratings</w:t>
                                  </w:r>
                                </w:p>
                                <w:p>
                                  <w:pPr>
                                    <w:pStyle w:val="Normal"/>
                                    <w:rPr/>
                                  </w:pPr>
                                  <w:r>
                                    <w:rPr/>
                                    <w:t>S&amp;P/Moody's</w:t>
                                  </w:r>
                                </w:p>
                                <w:p>
                                  <w:pPr>
                                    <w:pStyle w:val="Normal"/>
                                    <w:rPr/>
                                  </w:pPr>
                                  <w:r>
                                    <w:rPr/>
                                    <w:t>(If split rated, the lower rating is used for purposes of this table)</w:t>
                                  </w:r>
                                </w:p>
                              </w:tc>
                              <w:tc>
                                <w:tcPr>
                                  <w:tcW w:w="2340" w:type="dxa"/>
                                  <w:tcBorders>
                                    <w:top w:val="single" w:sz="6" w:space="0" w:color="000000"/>
                                    <w:start w:val="single" w:sz="6" w:space="0" w:color="000000"/>
                                    <w:bottom w:val="single" w:sz="6" w:space="0" w:color="000000"/>
                                    <w:end w:val="single" w:sz="6" w:space="0" w:color="000000"/>
                                  </w:tcBorders>
                                </w:tcPr>
                                <w:p>
                                  <w:pPr>
                                    <w:pStyle w:val="Normal"/>
                                    <w:rPr>
                                      <w:b/>
                                      <w:sz w:val="18"/>
                                    </w:rPr>
                                  </w:pPr>
                                  <w:r>
                                    <w:rPr/>
                                    <w:t>Capacity of the Project commencing the 18 calendar month after the calendar month of the Execution Date to 15 years after the Execution Date</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Capacity of the Project commencing from 46 days after Execution Date to the 18 calendar month after the Execution Date</w:t>
                                  </w:r>
                                </w:p>
                              </w:tc>
                              <w:tc>
                                <w:tcPr>
                                  <w:tcW w:w="2793" w:type="dxa"/>
                                  <w:tcBorders>
                                    <w:top w:val="single" w:sz="6" w:space="0" w:color="000000"/>
                                    <w:start w:val="single" w:sz="6" w:space="0" w:color="000000"/>
                                    <w:bottom w:val="single" w:sz="6" w:space="0" w:color="000000"/>
                                    <w:end w:val="single" w:sz="6" w:space="0" w:color="000000"/>
                                  </w:tcBorders>
                                </w:tcPr>
                                <w:p>
                                  <w:pPr>
                                    <w:pStyle w:val="Normal"/>
                                    <w:rPr/>
                                  </w:pPr>
                                  <w:r>
                                    <w:rPr/>
                                    <w:t>Capacity of the Project from the Execution Date to 45 days after the Execution Date</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A-/A3 and above</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BBB/Baa2</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34%</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67%</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BBB-/Baa3</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t xml:space="preserve"> </w:t>
                                  </w:r>
                                  <w:r>
                                    <w:rPr/>
                                    <w:t>34%</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Below BBB-/Baa3</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Percentage approved by Technical Committee</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Percentage approved by Technical Committee</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Percentage approved by Technical Committee</w:t>
                                  </w:r>
                                </w:p>
                              </w:tc>
                            </w:tr>
                          </w:tbl>
                        </w:txbxContent>
                      </wps:txbx>
                      <wps:bodyPr anchor="t" lIns="0" tIns="0" rIns="0" bIns="0">
                        <a:noAutofit/>
                      </wps:bodyPr>
                    </wps:wsp>
                  </a:graphicData>
                </a:graphic>
              </wp:anchor>
            </w:drawing>
          </mc:Choice>
          <mc:Fallback>
            <w:pict>
              <v:rect fillcolor="#FFFFFF" style="position:absolute;rotation:-0;width:473.9pt;height:226.05pt;mso-wrap-distance-left:9pt;mso-wrap-distance-right:9pt;mso-wrap-distance-top:0pt;mso-wrap-distance-bottom:0pt;margin-top:28pt;mso-position-vertical-relative:text;margin-left:93.9pt;mso-position-horizontal-relative:page">
                <v:fill opacity="0f"/>
                <v:textbox inset="0in,0in,0in,0in">
                  <w:txbxContent>
                    <w:tbl>
                      <w:tblPr>
                        <w:tblW w:w="9478" w:type="dxa"/>
                        <w:jc w:val="start"/>
                        <w:tblInd w:w="115" w:type="dxa"/>
                        <w:tblLayout w:type="fixed"/>
                        <w:tblCellMar>
                          <w:top w:w="0" w:type="dxa"/>
                          <w:start w:w="115" w:type="dxa"/>
                          <w:bottom w:w="0" w:type="dxa"/>
                          <w:end w:w="115" w:type="dxa"/>
                        </w:tblCellMar>
                      </w:tblPr>
                      <w:tblGrid>
                        <w:gridCol w:w="1645"/>
                        <w:gridCol w:w="2340"/>
                        <w:gridCol w:w="2700"/>
                        <w:gridCol w:w="2793"/>
                      </w:tblGrid>
                      <w:tr>
                        <w:trPr/>
                        <w:tc>
                          <w:tcPr>
                            <w:tcW w:w="1645"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u w:val="none"/>
                              </w:rPr>
                            </w:pPr>
                            <w:r>
                              <w:rPr>
                                <w:b w:val="false"/>
                                <w:u w:val="none"/>
                              </w:rPr>
                              <w:t>Ratings</w:t>
                            </w:r>
                          </w:p>
                          <w:p>
                            <w:pPr>
                              <w:pStyle w:val="Normal"/>
                              <w:rPr/>
                            </w:pPr>
                            <w:r>
                              <w:rPr/>
                              <w:t>S&amp;P/Moody's</w:t>
                            </w:r>
                          </w:p>
                          <w:p>
                            <w:pPr>
                              <w:pStyle w:val="Normal"/>
                              <w:rPr/>
                            </w:pPr>
                            <w:r>
                              <w:rPr/>
                              <w:t>(If split rated, the lower rating is used for purposes of this table)</w:t>
                            </w:r>
                          </w:p>
                        </w:tc>
                        <w:tc>
                          <w:tcPr>
                            <w:tcW w:w="2340" w:type="dxa"/>
                            <w:tcBorders>
                              <w:top w:val="single" w:sz="6" w:space="0" w:color="000000"/>
                              <w:start w:val="single" w:sz="6" w:space="0" w:color="000000"/>
                              <w:bottom w:val="single" w:sz="6" w:space="0" w:color="000000"/>
                              <w:end w:val="single" w:sz="6" w:space="0" w:color="000000"/>
                            </w:tcBorders>
                          </w:tcPr>
                          <w:p>
                            <w:pPr>
                              <w:pStyle w:val="Normal"/>
                              <w:rPr>
                                <w:b/>
                                <w:sz w:val="18"/>
                              </w:rPr>
                            </w:pPr>
                            <w:r>
                              <w:rPr/>
                              <w:t>Capacity of the Project commencing the 18 calendar month after the calendar month of the Execution Date to 15 years after the Execution Date</w:t>
                            </w:r>
                          </w:p>
                        </w:tc>
                        <w:tc>
                          <w:tcPr>
                            <w:tcW w:w="2700" w:type="dxa"/>
                            <w:tcBorders>
                              <w:top w:val="single" w:sz="6" w:space="0" w:color="000000"/>
                              <w:start w:val="single" w:sz="6" w:space="0" w:color="000000"/>
                              <w:bottom w:val="single" w:sz="6" w:space="0" w:color="000000"/>
                              <w:end w:val="single" w:sz="6" w:space="0" w:color="000000"/>
                            </w:tcBorders>
                          </w:tcPr>
                          <w:p>
                            <w:pPr>
                              <w:pStyle w:val="Normal"/>
                              <w:rPr/>
                            </w:pPr>
                            <w:r>
                              <w:rPr/>
                              <w:t>Capacity of the Project commencing from 46 days after Execution Date to the 18 calendar month after the Execution Date</w:t>
                            </w:r>
                          </w:p>
                        </w:tc>
                        <w:tc>
                          <w:tcPr>
                            <w:tcW w:w="2793" w:type="dxa"/>
                            <w:tcBorders>
                              <w:top w:val="single" w:sz="6" w:space="0" w:color="000000"/>
                              <w:start w:val="single" w:sz="6" w:space="0" w:color="000000"/>
                              <w:bottom w:val="single" w:sz="6" w:space="0" w:color="000000"/>
                              <w:end w:val="single" w:sz="6" w:space="0" w:color="000000"/>
                            </w:tcBorders>
                          </w:tcPr>
                          <w:p>
                            <w:pPr>
                              <w:pStyle w:val="Normal"/>
                              <w:rPr/>
                            </w:pPr>
                            <w:r>
                              <w:rPr/>
                              <w:t>Capacity of the Project from the Execution Date to 45 days after the Execution Date</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A-/A3 and above</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BBB/Baa2</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34%</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67%</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BBB-/Baa3</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t xml:space="preserve"> </w:t>
                            </w:r>
                            <w:r>
                              <w:rPr/>
                              <w:t>34%</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164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Below BBB-/Baa3</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Percentage approved by Technical Committee</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Percentage approved by Technical Committee</w:t>
                            </w:r>
                          </w:p>
                        </w:tc>
                        <w:tc>
                          <w:tcPr>
                            <w:tcW w:w="2793" w:type="dxa"/>
                            <w:tcBorders>
                              <w:top w:val="single" w:sz="6" w:space="0" w:color="000000"/>
                              <w:start w:val="single" w:sz="6" w:space="0" w:color="000000"/>
                              <w:bottom w:val="single" w:sz="6" w:space="0" w:color="000000"/>
                              <w:end w:val="single" w:sz="6" w:space="0" w:color="000000"/>
                            </w:tcBorders>
                          </w:tcPr>
                          <w:p>
                            <w:pPr>
                              <w:pStyle w:val="Normal"/>
                              <w:jc w:val="center"/>
                              <w:rPr/>
                            </w:pPr>
                            <w:r>
                              <w:rPr/>
                              <w:t>Percentage approved by Technical Committee</w:t>
                            </w:r>
                          </w:p>
                        </w:tc>
                      </w:tr>
                    </w:tbl>
                  </w:txbxContent>
                </v:textbox>
                <w10:wrap type="square"/>
              </v:rect>
            </w:pict>
          </mc:Fallback>
        </mc:AlternateContent>
      </w:r>
    </w:p>
    <w:p>
      <w:pPr>
        <w:pStyle w:val="BodyText"/>
        <w:rPr/>
      </w:pPr>
      <w:r>
        <w:rPr/>
      </w:r>
    </w:p>
    <w:p>
      <w:pPr>
        <w:pStyle w:val="BodyText"/>
        <w:ind w:firstLine="720" w:start="720" w:end="0"/>
        <w:rPr>
          <w:i/>
          <w:i/>
        </w:rPr>
      </w:pPr>
      <w:r>
        <w:rPr/>
        <w:t>Cottonwood Energy may purchase up to 100% of the Capacity of the Project of Gas from and sell up to 100% of the Capacity of the Plant of Power to the Energy Manager so long as the long-term senior unsecured debt rating of Coral Energy Holding, L.P. is at least BBB- by S&amp;P (to extent rated) and Baa3 by Moody’s (to extent rated).  If the Coral Energy Holding, L.P. fails to maintain such ratings, then the Cottonwood Energy may purchase up to a percentage approved by the Technical Committee of the Capacity of the Project of Gas from and sell up to a percentage approved by the Technical Committee of the Capacity of the Plant of Power to the Energy Manager.</w:t>
      </w:r>
    </w:p>
    <w:p>
      <w:pPr>
        <w:pStyle w:val="FootnoteText"/>
        <w:rPr>
          <w:i/>
          <w:i/>
        </w:rPr>
      </w:pPr>
      <w:r>
        <w:rPr>
          <w:i/>
        </w:rPr>
      </w:r>
    </w:p>
    <w:p>
      <w:pPr>
        <w:pStyle w:val="Normal"/>
        <w:numPr>
          <w:ilvl w:val="2"/>
          <w:numId w:val="7"/>
        </w:numPr>
        <w:tabs>
          <w:tab w:val="clear" w:pos="720"/>
        </w:tabs>
        <w:rPr/>
      </w:pPr>
      <w:r>
        <w:rPr/>
        <w:t>A counterparty will be deemed to have the ratings set forth in Section 5(a) if the performance of the counterparty under the relevant contract is unconditionally guaranteed by a Person having such long-term unsecured debt ratings.</w:t>
      </w:r>
    </w:p>
    <w:p>
      <w:pPr>
        <w:pStyle w:val="Normal"/>
        <w:rPr/>
      </w:pPr>
      <w:r>
        <w:rPr/>
      </w:r>
    </w:p>
    <w:p>
      <w:pPr>
        <w:pStyle w:val="Normal"/>
        <w:numPr>
          <w:ilvl w:val="2"/>
          <w:numId w:val="7"/>
        </w:numPr>
        <w:tabs>
          <w:tab w:val="clear" w:pos="720"/>
        </w:tabs>
        <w:rPr/>
      </w:pPr>
      <w:r>
        <w:rPr/>
        <w:t xml:space="preserve">Except with respect to purchases and sales of Power or Gas and Financial Instruments with the Approved Entities, Cottonwood Energy shall not enter into any contracts for the purchase or sale of Power or Gas or Financial Instruments with any counterparty having a long-term unsecured debt rating by S&amp;P and Moody's (or either if not rated by both) as set forth in the following chart if, as of the Business Day prior to entering into such contract, the Calculated Exposure of Cottonwood Energy under all contracts for the purchase or sale of Gas or Power and Financial Instruments exceeds the amounts set forth in the following chart with respect to counterparties having such credit rating unless Satisfactory Security is provided to Cottonwood Energy in an amount sufficient to cause such Calculated Exposure, after giving effect to such contract or Financial Instrument, to be within the limits set forth in the following chart: </w:t>
      </w:r>
    </w:p>
    <w:p>
      <w:pPr>
        <w:pStyle w:val="BodyText"/>
        <w:rPr/>
      </w:pPr>
      <w:r>
        <w:rPr/>
      </w:r>
      <w:r>
        <mc:AlternateContent>
          <mc:Choice Requires="wps">
            <w:drawing>
              <wp:anchor behindDoc="0" distT="0" distB="0" distL="114300" distR="114300" simplePos="0" locked="0" layoutInCell="0" allowOverlap="1" relativeHeight="3">
                <wp:simplePos x="0" y="0"/>
                <wp:positionH relativeFrom="page">
                  <wp:posOffset>1009650</wp:posOffset>
                </wp:positionH>
                <wp:positionV relativeFrom="paragraph">
                  <wp:posOffset>316865</wp:posOffset>
                </wp:positionV>
                <wp:extent cx="5902325" cy="1644015"/>
                <wp:effectExtent l="0" t="0" r="0" b="0"/>
                <wp:wrapSquare wrapText="bothSides"/>
                <wp:docPr id="2" name="Frame2"/>
                <a:graphic xmlns:a="http://schemas.openxmlformats.org/drawingml/2006/main">
                  <a:graphicData uri="http://schemas.microsoft.com/office/word/2010/wordprocessingShape">
                    <wps:wsp>
                      <wps:cNvSpPr txBox="1"/>
                      <wps:spPr>
                        <a:xfrm>
                          <a:off x="0" y="0"/>
                          <a:ext cx="5902325" cy="1644015"/>
                        </a:xfrm>
                        <a:prstGeom prst="rect"/>
                        <a:solidFill>
                          <a:srgbClr val="FFFFFF">
                            <a:alpha val="0"/>
                          </a:srgbClr>
                        </a:solidFill>
                      </wps:spPr>
                      <wps:txbx>
                        <w:txbxContent>
                          <w:tbl>
                            <w:tblPr>
                              <w:tblW w:w="9295" w:type="dxa"/>
                              <w:jc w:val="start"/>
                              <w:tblInd w:w="115" w:type="dxa"/>
                              <w:tblLayout w:type="fixed"/>
                              <w:tblCellMar>
                                <w:top w:w="0" w:type="dxa"/>
                                <w:start w:w="115" w:type="dxa"/>
                                <w:bottom w:w="0" w:type="dxa"/>
                                <w:end w:w="115" w:type="dxa"/>
                              </w:tblCellMar>
                            </w:tblPr>
                            <w:tblGrid>
                              <w:gridCol w:w="4165"/>
                              <w:gridCol w:w="5130"/>
                            </w:tblGrid>
                            <w:tr>
                              <w:trPr/>
                              <w:tc>
                                <w:tcPr>
                                  <w:tcW w:w="4165"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u w:val="none"/>
                                    </w:rPr>
                                  </w:pPr>
                                  <w:r>
                                    <w:rPr>
                                      <w:b w:val="false"/>
                                      <w:u w:val="none"/>
                                    </w:rPr>
                                    <w:t>Ratings</w:t>
                                  </w:r>
                                </w:p>
                                <w:p>
                                  <w:pPr>
                                    <w:pStyle w:val="Normal"/>
                                    <w:rPr/>
                                  </w:pPr>
                                  <w:r>
                                    <w:rPr/>
                                    <w:t>S&amp;P/Moody's</w:t>
                                  </w:r>
                                </w:p>
                                <w:p>
                                  <w:pPr>
                                    <w:pStyle w:val="Normal"/>
                                    <w:rPr/>
                                  </w:pPr>
                                  <w:r>
                                    <w:rPr/>
                                    <w:t>(If split rated, the lower rating is used for purposes of this table)</w:t>
                                  </w:r>
                                </w:p>
                              </w:tc>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Calculated Exposure</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A-/A3 and above</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$35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BBB+/Baa1</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$30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BBB/Baa2</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$25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BBB-/Baa3</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$20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Below BBB-/Baa3</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Amounts approved by Technical Committee</w:t>
                                  </w:r>
                                </w:p>
                              </w:tc>
                            </w:tr>
                          </w:tbl>
                        </w:txbxContent>
                      </wps:txbx>
                      <wps:bodyPr anchor="t" lIns="0" tIns="0" rIns="0" bIns="0">
                        <a:noAutofit/>
                      </wps:bodyPr>
                    </wps:wsp>
                  </a:graphicData>
                </a:graphic>
              </wp:anchor>
            </w:drawing>
          </mc:Choice>
          <mc:Fallback>
            <w:pict>
              <v:rect fillcolor="#FFFFFF" style="position:absolute;rotation:-0;width:464.75pt;height:129.45pt;mso-wrap-distance-left:9pt;mso-wrap-distance-right:9pt;mso-wrap-distance-top:0pt;mso-wrap-distance-bottom:0pt;margin-top:24.95pt;mso-position-vertical-relative:text;margin-left:79.5pt;mso-position-horizontal-relative:page">
                <v:fill opacity="0f"/>
                <v:textbox inset="0in,0in,0in,0in">
                  <w:txbxContent>
                    <w:tbl>
                      <w:tblPr>
                        <w:tblW w:w="9295" w:type="dxa"/>
                        <w:jc w:val="start"/>
                        <w:tblInd w:w="115" w:type="dxa"/>
                        <w:tblLayout w:type="fixed"/>
                        <w:tblCellMar>
                          <w:top w:w="0" w:type="dxa"/>
                          <w:start w:w="115" w:type="dxa"/>
                          <w:bottom w:w="0" w:type="dxa"/>
                          <w:end w:w="115" w:type="dxa"/>
                        </w:tblCellMar>
                      </w:tblPr>
                      <w:tblGrid>
                        <w:gridCol w:w="4165"/>
                        <w:gridCol w:w="5130"/>
                      </w:tblGrid>
                      <w:tr>
                        <w:trPr/>
                        <w:tc>
                          <w:tcPr>
                            <w:tcW w:w="4165"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u w:val="none"/>
                              </w:rPr>
                            </w:pPr>
                            <w:r>
                              <w:rPr>
                                <w:b w:val="false"/>
                                <w:u w:val="none"/>
                              </w:rPr>
                              <w:t>Ratings</w:t>
                            </w:r>
                          </w:p>
                          <w:p>
                            <w:pPr>
                              <w:pStyle w:val="Normal"/>
                              <w:rPr/>
                            </w:pPr>
                            <w:r>
                              <w:rPr/>
                              <w:t>S&amp;P/Moody's</w:t>
                            </w:r>
                          </w:p>
                          <w:p>
                            <w:pPr>
                              <w:pStyle w:val="Normal"/>
                              <w:rPr/>
                            </w:pPr>
                            <w:r>
                              <w:rPr/>
                              <w:t>(If split rated, the lower rating is used for purposes of this table)</w:t>
                            </w:r>
                          </w:p>
                        </w:tc>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Calculated Exposure</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A-/A3 and above</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$35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BBB+/Baa1</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$30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BBB/Baa2</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$25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BBB-/Baa3</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$20 million</w:t>
                            </w:r>
                          </w:p>
                        </w:tc>
                      </w:tr>
                      <w:tr>
                        <w:trPr/>
                        <w:tc>
                          <w:tcPr>
                            <w:tcW w:w="4165"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Below BBB-/Baa3</w:t>
                            </w:r>
                          </w:p>
                        </w:tc>
                        <w:tc>
                          <w:tcPr>
                            <w:tcW w:w="5130" w:type="dxa"/>
                            <w:tcBorders>
                              <w:top w:val="single" w:sz="6" w:space="0" w:color="000000"/>
                              <w:start w:val="single" w:sz="6" w:space="0" w:color="000000"/>
                              <w:bottom w:val="single" w:sz="6" w:space="0" w:color="000000"/>
                              <w:end w:val="single" w:sz="6" w:space="0" w:color="000000"/>
                            </w:tcBorders>
                          </w:tcPr>
                          <w:p>
                            <w:pPr>
                              <w:pStyle w:val="Normal"/>
                              <w:jc w:val="center"/>
                              <w:rPr/>
                            </w:pPr>
                            <w:r>
                              <w:rPr/>
                              <w:t>Amounts approved by Technical Committee</w:t>
                            </w:r>
                          </w:p>
                        </w:tc>
                      </w:tr>
                    </w:tbl>
                  </w:txbxContent>
                </v:textbox>
                <w10:wrap type="square"/>
              </v:rect>
            </w:pict>
          </mc:Fallback>
        </mc:AlternateContent>
      </w:r>
    </w:p>
    <w:p>
      <w:pPr>
        <w:pStyle w:val="Normal"/>
        <w:rPr/>
      </w:pPr>
      <w:r>
        <w:rPr/>
      </w:r>
    </w:p>
    <w:p>
      <w:pPr>
        <w:pStyle w:val="Normal"/>
        <w:numPr>
          <w:ilvl w:val="2"/>
          <w:numId w:val="7"/>
        </w:numPr>
        <w:tabs>
          <w:tab w:val="clear" w:pos="720"/>
        </w:tabs>
        <w:rPr/>
      </w:pPr>
      <w:r>
        <w:rPr/>
        <w:t>To the extent that the liability of any of the Approved Entities is limited to a specified dollar amount, then Cottonwood Energy shall not enter into any contracts for the purchase or sale of Power or Gas or Financial Instruments with such Approved Entity if the Calculated Exposure of Cottonwood Energy under all contracts for the purchase or sale of Gas or Power and Financial Instruments with such Approved Entity as of the Business Day prior to entering into such contract, plus the Calculated Exposure under such contract or Financial Instrument, would cause the Calculated Exposure of such Approved Entity to the Cottonwood Energy under all such contracts and Financial Instruments to exceed such specified amount.</w:t>
      </w:r>
    </w:p>
    <w:p>
      <w:pPr>
        <w:pStyle w:val="Normal"/>
        <w:rPr/>
      </w:pPr>
      <w:r>
        <w:rPr/>
      </w:r>
    </w:p>
    <w:p>
      <w:pPr>
        <w:pStyle w:val="Normal"/>
        <w:numPr>
          <w:ilvl w:val="1"/>
          <w:numId w:val="7"/>
        </w:numPr>
        <w:tabs>
          <w:tab w:val="clear" w:pos="720"/>
        </w:tabs>
        <w:rPr/>
      </w:pPr>
      <w:r>
        <w:rPr>
          <w:u w:val="single"/>
        </w:rPr>
        <w:t>Shortfall Amount.</w:t>
      </w:r>
      <w:r>
        <w:rPr/>
        <w:t xml:space="preserve">  If either (i) Cottonwood Energy have elected to accept from a counterparty Satisfactory Security in lieu of satisfying the credit quality requirements under Section 5(a) and on any day the Calculated Exposure under such contract is greater than the amount of the Satisfactory Security provided to Cottonwood Energy for such contract or (ii) the long-term unsecured debt rating of any counterparty that was required to qualify under the standards of Section 5(a) fails to satisfy the standards in Sections 5(a) subsequent to the date of execution of the contract, then the amount by which the Calculated Exposure under each such contract exceeds the amount of the Satisfactory Security, if any, for such contract shall constitute a "Shortfall Amount."</w:t>
      </w:r>
    </w:p>
    <w:p>
      <w:pPr>
        <w:pStyle w:val="Normal"/>
        <w:rPr/>
      </w:pPr>
      <w:r>
        <w:rPr/>
      </w:r>
    </w:p>
    <w:p>
      <w:pPr>
        <w:pStyle w:val="Normal"/>
        <w:numPr>
          <w:ilvl w:val="1"/>
          <w:numId w:val="7"/>
        </w:numPr>
        <w:tabs>
          <w:tab w:val="clear" w:pos="720"/>
        </w:tabs>
        <w:rPr/>
      </w:pPr>
      <w:r>
        <w:rPr>
          <w:u w:val="single"/>
        </w:rPr>
        <w:t>Termination of Positions.</w:t>
      </w:r>
      <w:r>
        <w:rPr/>
        <w:t xml:space="preserve">  In the event that a Shortfall Amount exists for any contract, Cottonwood Energy will use reasonable commercial efforts to mitigate the exposure to such Shortfall Amount.  Such efforts may include the termination of such contract (if permitted by the terms of such contract and Cottonwood Energy determines that termination is a reasonable commercial alternative), entering into a countervailing transaction with the same counterparty so as to net the position (e.g., if purchased Gas from a counterparty, then enter into contract with same counterparty to sell Gas where the contracts permit the netting of transactions) or such other actions recommended by Cottonwood Energy and approved by the Technical Committee.</w:t>
      </w:r>
    </w:p>
    <w:p>
      <w:pPr>
        <w:pStyle w:val="Normal"/>
        <w:rPr/>
      </w:pPr>
      <w:r>
        <w:rPr/>
      </w:r>
    </w:p>
    <w:p>
      <w:pPr>
        <w:pStyle w:val="Normal"/>
        <w:keepNext w:val="true"/>
        <w:keepLines/>
        <w:numPr>
          <w:ilvl w:val="0"/>
          <w:numId w:val="7"/>
        </w:numPr>
        <w:tabs>
          <w:tab w:val="clear" w:pos="720"/>
        </w:tabs>
        <w:rPr/>
      </w:pPr>
      <w:r>
        <w:rPr>
          <w:u w:val="single"/>
        </w:rPr>
        <w:t>Eighteen-Month Limit.</w:t>
      </w:r>
      <w:r>
        <w:rPr/>
        <w:t xml:space="preserve">  Cottonwood Energy shall not enter into any Firm Power Contracts, Firm Fuel Contracts or any Financial Instruments if the effect of entering into such contracts causes an Imbalance to exist for any day commencing with the first day of the eighteenth calendar month following the calendar month of the Execution Date of such contract except to the extent that an Imbalance may be created for such period if such Imbalance is eliminated within the Business Day following the date of its creation.</w:t>
      </w:r>
    </w:p>
    <w:p>
      <w:pPr>
        <w:pStyle w:val="Normal"/>
        <w:rPr/>
      </w:pPr>
      <w:r>
        <w:rPr/>
      </w:r>
    </w:p>
    <w:p>
      <w:pPr>
        <w:pStyle w:val="Normal"/>
        <w:numPr>
          <w:ilvl w:val="0"/>
          <w:numId w:val="7"/>
        </w:numPr>
        <w:tabs>
          <w:tab w:val="clear" w:pos="720"/>
        </w:tabs>
        <w:rPr/>
      </w:pPr>
      <w:r>
        <w:rPr>
          <w:u w:val="single"/>
        </w:rPr>
        <w:t>Mark-to-Market Limit</w:t>
      </w:r>
      <w:r>
        <w:rPr/>
        <w:t>.</w:t>
      </w:r>
    </w:p>
    <w:p>
      <w:pPr>
        <w:pStyle w:val="Normal"/>
        <w:rPr/>
      </w:pPr>
      <w:r>
        <w:rPr/>
      </w:r>
    </w:p>
    <w:p>
      <w:pPr>
        <w:pStyle w:val="Normal"/>
        <w:numPr>
          <w:ilvl w:val="1"/>
          <w:numId w:val="7"/>
        </w:numPr>
        <w:tabs>
          <w:tab w:val="clear" w:pos="720"/>
        </w:tabs>
        <w:rPr/>
      </w:pPr>
      <w:r>
        <w:rPr>
          <w:u w:val="single"/>
        </w:rPr>
        <w:t>Incurrence of Mark-to-Market Excess.</w:t>
      </w:r>
      <w:r>
        <w:rPr/>
        <w:t xml:space="preserve"> Cottonwood Energy shall not enter into any Firm Fuel Contract, Firm Power Contract or any Financial Instrument if the effect of entering into such contract would cause a Mark-to-Market Excess to exist at the time of execution.</w:t>
      </w:r>
    </w:p>
    <w:p>
      <w:pPr>
        <w:pStyle w:val="FootnoteText"/>
        <w:rPr/>
      </w:pPr>
      <w:r>
        <w:rPr/>
      </w:r>
    </w:p>
    <w:p>
      <w:pPr>
        <w:pStyle w:val="Normal"/>
        <w:numPr>
          <w:ilvl w:val="1"/>
          <w:numId w:val="7"/>
        </w:numPr>
        <w:tabs>
          <w:tab w:val="clear" w:pos="720"/>
        </w:tabs>
        <w:rPr/>
      </w:pPr>
      <w:r>
        <w:rPr>
          <w:u w:val="single"/>
        </w:rPr>
        <w:t>Existence of Mark-to-Market Excess.</w:t>
      </w:r>
      <w:r>
        <w:rPr/>
        <w:t xml:space="preserve">  If there is a Mark-to-Market Excess on any day, Cottonwood Energy shall use all commercially reasonable efforts to cause the Mark-to-Market Excess to be eliminated within three Business Days of the occurrence of such Mark-to-Market Excess.  If after such three-Business-Day period, the Mark-to-Market Excess remains, unless otherwise approved by the Technical Committee, Cottonwood Energy shall terminate such contracts as it determines necessary to eliminate the Mark-to-Market Excess.</w:t>
      </w:r>
    </w:p>
    <w:p>
      <w:pPr>
        <w:pStyle w:val="FootnoteText"/>
        <w:rPr/>
      </w:pPr>
      <w:r>
        <w:rPr/>
      </w:r>
    </w:p>
    <w:p>
      <w:pPr>
        <w:pStyle w:val="Normal"/>
        <w:numPr>
          <w:ilvl w:val="0"/>
          <w:numId w:val="7"/>
        </w:numPr>
        <w:tabs>
          <w:tab w:val="clear" w:pos="720"/>
        </w:tabs>
        <w:rPr/>
      </w:pPr>
      <w:r>
        <w:rPr>
          <w:u w:val="single"/>
        </w:rPr>
        <w:t>Use of MLR Account and MLRLC.</w:t>
      </w:r>
      <w:r>
        <w:rPr/>
        <w:t xml:space="preserve">  During any month, to pay any Liquidation Amounts, Cottonwood Energy will draw on funds in the MLR Account and to the extent such funds are insufficient, draw on the MLRC.  On each Monthly Payment Date, to the extent that the Cumulative Liquidation Amount is equal to or greater than zero, an amount equal to all drawings made on the MLR Account and MLRLC since the previous Monthly Payment Date to pay any Liquidation Amounts, will be withdrawn from the Revenue Account and deposited in the MLR Account.  On each Monthly Payment Date, to the extent that the Cumulative Liquidation Amount is less than zero, an amount will be withdrawn from the Revenue Account and deposited into the MLR Account equal to the lesser of (i) the sum of all Liquidation Amounts received into the Revenue Account since the immediately preceding Monthly Payment Date and (ii) an amount equal to all drawings on the MLR Account and MLRLC since the previous Monthly Payment Date.</w:t>
      </w:r>
    </w:p>
    <w:p>
      <w:pPr>
        <w:pStyle w:val="Normal"/>
        <w:tabs>
          <w:tab w:val="clear" w:pos="720"/>
          <w:tab w:val="left" w:pos="2160" w:leader="none"/>
        </w:tabs>
        <w:rPr/>
      </w:pPr>
      <w:r>
        <w:rPr/>
      </w:r>
    </w:p>
    <w:p>
      <w:pPr>
        <w:pStyle w:val="Normal"/>
        <w:numPr>
          <w:ilvl w:val="0"/>
          <w:numId w:val="7"/>
        </w:numPr>
        <w:tabs>
          <w:tab w:val="clear" w:pos="720"/>
        </w:tabs>
        <w:rPr/>
      </w:pPr>
      <w:r>
        <w:rPr>
          <w:u w:val="single"/>
        </w:rPr>
        <w:t>Cash Flow Exposure Limit</w:t>
      </w:r>
      <w:r>
        <w:rPr/>
        <w:t>.  Cottonwood Energy shall not enter into any Firm Power Contracts, Firm Fuel Contracts or any Financial Instruments if the effect of entering into such contracts would reasonably be expected to cause the Cash Flow Exposure to exceed the Exposure Limit for any day after the Execution Date except to the extent that a Cash Flow Exposure Excess may be created for such period if such Cash Flow Exposure Excess is eliminated within the Business Day following the date of its creation.</w:t>
      </w:r>
    </w:p>
    <w:p>
      <w:pPr>
        <w:pStyle w:val="Normal"/>
        <w:rPr>
          <w:u w:val="single"/>
        </w:rPr>
      </w:pPr>
      <w:r>
        <w:rPr>
          <w:u w:val="single"/>
        </w:rPr>
      </w:r>
    </w:p>
    <w:p>
      <w:pPr>
        <w:pStyle w:val="Normal"/>
        <w:numPr>
          <w:ilvl w:val="0"/>
          <w:numId w:val="7"/>
        </w:numPr>
        <w:tabs>
          <w:tab w:val="clear" w:pos="720"/>
        </w:tabs>
        <w:rPr/>
      </w:pPr>
      <w:r>
        <w:rPr>
          <w:u w:val="single"/>
        </w:rPr>
        <w:t>Absolute Volumetric Limit.</w:t>
      </w:r>
      <w:r>
        <w:rPr/>
        <w:t xml:space="preserve"> </w:t>
      </w:r>
    </w:p>
    <w:p>
      <w:pPr>
        <w:pStyle w:val="Normal"/>
        <w:rPr/>
      </w:pPr>
      <w:r>
        <w:rPr/>
      </w:r>
    </w:p>
    <w:p>
      <w:pPr>
        <w:pStyle w:val="Normal"/>
        <w:numPr>
          <w:ilvl w:val="1"/>
          <w:numId w:val="7"/>
        </w:numPr>
        <w:tabs>
          <w:tab w:val="clear" w:pos="720"/>
        </w:tabs>
        <w:rPr/>
      </w:pPr>
      <w:r>
        <w:rPr>
          <w:u w:val="single"/>
        </w:rPr>
        <w:t>One Train Limitation.</w:t>
      </w:r>
      <w:r>
        <w:rPr/>
        <w:t xml:space="preserve">  Except as provided in Sections 10(b), 10(c), 11(a) or 11(b), Cottonwood Energy shall not enter into any Firm Power Contracts, Firm Fuel Contracts or any Financial Instruments if the effect of entering into such contracts would reasonably be expected to cause an Imbalance to exist for any day that is greater than the lesser of (x) the full electrical output of the Train that has been completed under the EPC Agreement that has the lowest electrical output as demonstrated in the Performance Tests for such Train or, if the calculation date is after the first Annual Operating Budget, the electrical output for the Train, as determined by Cottonwood Energy and approved by the Technical Committee in consultation with the Independent Engineer in conjunction with the preparation of such Annual Operating Budget, that has the lowest electrical output or (y) the Net Train Electrical Output (Guaranteed) for any Train remaining to be completed under the EPC Agreement.</w:t>
      </w:r>
    </w:p>
    <w:p>
      <w:pPr>
        <w:pStyle w:val="Normal"/>
        <w:rPr/>
      </w:pPr>
      <w:r>
        <w:rPr/>
      </w:r>
    </w:p>
    <w:p>
      <w:pPr>
        <w:pStyle w:val="Normal"/>
        <w:numPr>
          <w:ilvl w:val="1"/>
          <w:numId w:val="7"/>
        </w:numPr>
        <w:tabs>
          <w:tab w:val="clear" w:pos="720"/>
        </w:tabs>
        <w:rPr/>
      </w:pPr>
      <w:r>
        <w:rPr>
          <w:u w:val="single"/>
        </w:rPr>
        <w:t>Conversion of Financial to Physical.</w:t>
      </w:r>
      <w:r>
        <w:rPr/>
        <w:t xml:space="preserve">  During the Conversion Period, and to the extent necessary for Cottonwood Energy to effect a Conversion, Cottonwood Energy may enter into (i) Power contracts without having entered into Gas contracts for a quantity of Gas, or (ii) Gas contracts without having entered into Power contracts for a quantity of MWh (based on the applicable Heat Rate) equal to (x) the full electrical output of two Trains (inclusive of the one Train described in Section 10(a) that have the lowest electrical output as demonstrated in the Performance Tests for such Trains, or (y) if the measurement date is after the first Annual Operating Budget, the electrical output for the Conversion Period of the two Trains, as determined by Cottonwood Energy and approved by the Technical Committee in consultation with the Independent Engineer in conjunction with the preparation of such Annual Operating Budget, that has the lowest electrical output.</w:t>
      </w:r>
    </w:p>
    <w:p>
      <w:pPr>
        <w:pStyle w:val="Normal"/>
        <w:rPr/>
      </w:pPr>
      <w:r>
        <w:rPr/>
      </w:r>
    </w:p>
    <w:p>
      <w:pPr>
        <w:pStyle w:val="Normal"/>
        <w:numPr>
          <w:ilvl w:val="0"/>
          <w:numId w:val="7"/>
        </w:numPr>
        <w:tabs>
          <w:tab w:val="clear" w:pos="720"/>
        </w:tabs>
        <w:rPr/>
      </w:pPr>
      <w:r>
        <w:rPr>
          <w:u w:val="single"/>
        </w:rPr>
        <w:t>Forty-Five Day Limit.</w:t>
      </w:r>
      <w:r>
        <w:rPr/>
        <w:t xml:space="preserve">  </w:t>
      </w:r>
    </w:p>
    <w:p>
      <w:pPr>
        <w:pStyle w:val="Normal"/>
        <w:rPr/>
      </w:pPr>
      <w:r>
        <w:rPr/>
      </w:r>
    </w:p>
    <w:p>
      <w:pPr>
        <w:pStyle w:val="Normal"/>
        <w:numPr>
          <w:ilvl w:val="1"/>
          <w:numId w:val="7"/>
        </w:numPr>
        <w:tabs>
          <w:tab w:val="clear" w:pos="720"/>
        </w:tabs>
        <w:rPr/>
      </w:pPr>
      <w:r>
        <w:rPr>
          <w:u w:val="single"/>
        </w:rPr>
        <w:t>Equivalent Quantities.</w:t>
      </w:r>
      <w:r>
        <w:rPr/>
        <w:t xml:space="preserve">  Cottonwood Energy shall have purchased Gas in a quantity equivalent to or greater than (based on the applicable Heat Rate) all Power sales under Power contracts to be delivered by Cottonwood Energy during the forty-five-day period following the calculation date except to the extent that such mismatch is eliminated within the Business Day following the date of its creation.</w:t>
      </w:r>
    </w:p>
    <w:p>
      <w:pPr>
        <w:pStyle w:val="Normal"/>
        <w:rPr/>
      </w:pPr>
      <w:r>
        <w:rPr/>
      </w:r>
    </w:p>
    <w:p>
      <w:pPr>
        <w:pStyle w:val="Normal"/>
        <w:numPr>
          <w:ilvl w:val="1"/>
          <w:numId w:val="7"/>
        </w:numPr>
        <w:tabs>
          <w:tab w:val="clear" w:pos="720"/>
        </w:tabs>
        <w:rPr/>
      </w:pPr>
      <w:r>
        <w:rPr>
          <w:u w:val="single"/>
        </w:rPr>
        <w:t>Firm Delivery at Daily Index.</w:t>
      </w:r>
      <w:r>
        <w:rPr/>
        <w:t xml:space="preserve">  Cottonwood Energy may enter into Gas contracts to purchase quantities of Gas in a quantity up to the Capacity of the Plant for a period of forty-five days from the Execution Date without having sold equivalent quantities of Power if the price to be paid by Cottonwood Energy for deliveries of Gas under such contracts does not exceed the Applicable Index price for Gas on the day of delivery.  Any quantity of Gas subject to such contracts shall not be included in the calculation of Gas under Firm Fuel Contracts under Section 9(b) of this Exhibit.</w:t>
      </w:r>
    </w:p>
    <w:p>
      <w:pPr>
        <w:pStyle w:val="Normal"/>
        <w:rPr/>
      </w:pPr>
      <w:r>
        <w:rPr/>
      </w:r>
    </w:p>
    <w:p>
      <w:pPr>
        <w:pStyle w:val="Normal"/>
        <w:numPr>
          <w:ilvl w:val="0"/>
          <w:numId w:val="7"/>
        </w:numPr>
        <w:tabs>
          <w:tab w:val="clear" w:pos="720"/>
        </w:tabs>
        <w:rPr/>
      </w:pPr>
      <w:r>
        <w:rPr>
          <w:u w:val="single"/>
        </w:rPr>
        <w:t>Balancing of Gas and Power</w:t>
      </w:r>
      <w:r>
        <w:rPr/>
        <w:t xml:space="preserve"> Cottonwood Energy shall use commercially reasonable efforts to manage purchases of Gas and sales of Power so as to provide sufficient Gas for Power sales on the day of power production.</w:t>
      </w:r>
    </w:p>
    <w:p>
      <w:pPr>
        <w:pStyle w:val="Normal"/>
        <w:rPr/>
      </w:pPr>
      <w:r>
        <w:rPr/>
      </w:r>
    </w:p>
    <w:p>
      <w:pPr>
        <w:pStyle w:val="Normal"/>
        <w:numPr>
          <w:ilvl w:val="0"/>
          <w:numId w:val="7"/>
        </w:numPr>
        <w:tabs>
          <w:tab w:val="clear" w:pos="720"/>
        </w:tabs>
        <w:rPr/>
      </w:pPr>
      <w:r>
        <w:rPr>
          <w:u w:val="single"/>
        </w:rPr>
        <w:t>Contract Limitations.</w:t>
      </w:r>
    </w:p>
    <w:p>
      <w:pPr>
        <w:pStyle w:val="FootnoteText"/>
        <w:ind w:firstLine="720" w:end="720"/>
        <w:rPr/>
      </w:pPr>
      <w:r>
        <w:rPr/>
      </w:r>
    </w:p>
    <w:p>
      <w:pPr>
        <w:pStyle w:val="Normal"/>
        <w:numPr>
          <w:ilvl w:val="1"/>
          <w:numId w:val="7"/>
        </w:numPr>
        <w:tabs>
          <w:tab w:val="clear" w:pos="720"/>
        </w:tabs>
        <w:rPr/>
      </w:pPr>
      <w:r>
        <w:rPr>
          <w:u w:val="single"/>
        </w:rPr>
        <w:t>Liquidated Damages in Power Contracts.</w:t>
      </w:r>
      <w:r>
        <w:rPr/>
        <w:t xml:space="preserve">  Cottonwood Energy shall not enter into any Power contracts unless the damages for the failure of Cottonwood Energy to deliver Power is limited to the excess of the cost of the counterparty to acquire replacement Power over the cost that would have been paid under such Power contract had the Power been delivered by Cottonwood Energy and the cost of related transmission or wheeling services.</w:t>
      </w:r>
    </w:p>
    <w:p>
      <w:pPr>
        <w:pStyle w:val="Normal"/>
        <w:rPr/>
      </w:pPr>
      <w:r>
        <w:rPr/>
      </w:r>
    </w:p>
    <w:p>
      <w:pPr>
        <w:pStyle w:val="Normal"/>
        <w:numPr>
          <w:ilvl w:val="1"/>
          <w:numId w:val="7"/>
        </w:numPr>
        <w:tabs>
          <w:tab w:val="clear" w:pos="720"/>
        </w:tabs>
        <w:rPr/>
      </w:pPr>
      <w:r>
        <w:rPr>
          <w:u w:val="single"/>
        </w:rPr>
        <w:t>Liquidated Damages in Gas Contracts.</w:t>
      </w:r>
      <w:r>
        <w:rPr/>
        <w:t xml:space="preserve">  Cottonwood Energy shall not enter into any Gas contracts unless the damages for the failure of Cottonwood Energy to take Gas is limited to the excess of the price to be paid by Cottonwood Energy under the contract for such Gas over the price at which the counterparty is able to resell such Gas and the cost of related transportation.</w:t>
      </w:r>
    </w:p>
    <w:p>
      <w:pPr>
        <w:pStyle w:val="Normal"/>
        <w:rPr>
          <w:u w:val="single"/>
        </w:rPr>
      </w:pPr>
      <w:r>
        <w:rPr>
          <w:u w:val="single"/>
        </w:rPr>
      </w:r>
    </w:p>
    <w:p>
      <w:pPr>
        <w:pStyle w:val="Normal"/>
        <w:numPr>
          <w:ilvl w:val="1"/>
          <w:numId w:val="7"/>
        </w:numPr>
        <w:tabs>
          <w:tab w:val="clear" w:pos="720"/>
        </w:tabs>
        <w:rPr/>
      </w:pPr>
      <w:r>
        <w:rPr>
          <w:u w:val="single"/>
        </w:rPr>
        <w:t>Consequential Damages.</w:t>
      </w:r>
      <w:r>
        <w:rPr/>
        <w:t xml:space="preserve">  Cottonwood Energy shall not enter into any Power contracts, Gas contracts, Financial Instruments, transmission contracts or transportation contracts unless such contracts</w:t>
      </w:r>
      <w:r>
        <w:rPr>
          <w:b/>
        </w:rPr>
        <w:t xml:space="preserve"> </w:t>
      </w:r>
      <w:r>
        <w:rPr/>
        <w:t>contain a waiver by the counterparty of all consequential, special and indirect damages resulting from Cottonwood Energy's failure to perform under such contract.</w:t>
      </w:r>
    </w:p>
    <w:p>
      <w:pPr>
        <w:pStyle w:val="FootnoteText"/>
        <w:ind w:end="720"/>
        <w:rPr>
          <w:b/>
        </w:rPr>
      </w:pPr>
      <w:r>
        <w:rPr>
          <w:b/>
        </w:rPr>
      </w:r>
    </w:p>
    <w:p>
      <w:pPr>
        <w:pStyle w:val="Normal"/>
        <w:numPr>
          <w:ilvl w:val="1"/>
          <w:numId w:val="7"/>
        </w:numPr>
        <w:tabs>
          <w:tab w:val="clear" w:pos="720"/>
        </w:tabs>
        <w:rPr/>
      </w:pPr>
      <w:r>
        <w:rPr>
          <w:u w:val="single"/>
        </w:rPr>
        <w:t>Collateral Assignment</w:t>
      </w:r>
      <w:r>
        <w:rPr/>
        <w:t>.  Cottonwood Energy shall not enter into any Power contracts, Gas contracts, Financial Instruments, transmission contracts or firm transportation contracts unless such contracts permit the granting of a security interest in such contracts in favor of the Collateral Agent, for the benefit of the Secured Parties (as defined in the Security Agreement)</w:t>
      </w:r>
      <w:r>
        <w:rPr>
          <w:rFonts w:cs="MS Sans Serif" w:ascii="MS Sans Serif" w:hAnsi="MS Sans Serif"/>
          <w:sz w:val="17"/>
        </w:rPr>
        <w:t>.</w:t>
      </w:r>
    </w:p>
    <w:p>
      <w:pPr>
        <w:pStyle w:val="Normal"/>
        <w:rPr/>
      </w:pPr>
      <w:r>
        <w:rPr/>
      </w:r>
    </w:p>
    <w:p>
      <w:pPr>
        <w:pStyle w:val="Normal"/>
        <w:numPr>
          <w:ilvl w:val="1"/>
          <w:numId w:val="7"/>
        </w:numPr>
        <w:tabs>
          <w:tab w:val="clear" w:pos="720"/>
        </w:tabs>
        <w:rPr/>
      </w:pPr>
      <w:r>
        <w:rPr>
          <w:u w:val="single"/>
        </w:rPr>
        <w:t>Pre-Approved Forms.</w:t>
      </w:r>
      <w:r>
        <w:rPr/>
        <w:t xml:space="preserve">  Cottonwood Energy shall not enter into any Power contracts, Gas contracts or Financial Instruments unless each such contract satisfies the applicable criteria set forth below.  The Technical Committee may waive the application of such criteria on the request of Cottonwood Energy.</w:t>
      </w:r>
    </w:p>
    <w:p>
      <w:pPr>
        <w:pStyle w:val="FootnoteText"/>
        <w:rPr/>
      </w:pPr>
      <w:r>
        <w:rPr/>
      </w:r>
    </w:p>
    <w:p>
      <w:pPr>
        <w:pStyle w:val="Normal"/>
        <w:numPr>
          <w:ilvl w:val="2"/>
          <w:numId w:val="7"/>
        </w:numPr>
        <w:tabs>
          <w:tab w:val="clear" w:pos="720"/>
        </w:tabs>
        <w:rPr/>
      </w:pPr>
      <w:r>
        <w:rPr/>
        <w:t>Cottonwood Energy may not enter into any Power contracts, Gas contracts or Financial Instruments with a term of 540 days or less from the date of execution unless (x) the contract is substantially in the form of a Pre-Approved Form; (y) the counterparty satisfies the credit requirements set forth in Section 5; and (z) the execution of such contracts will not cause Cottonwood Energy to violate  the other provisions of this Exhibit.  If Cottonwood Energy intends to enter into any Power contracts, Gas contracts or Financial Instruments with a term of 540 days or less from the date of execution and the contract is not on a Pre-Approved Form, Cottonwood Energy shall submit the form for approval pursuant to Section 14.</w:t>
      </w:r>
    </w:p>
    <w:p>
      <w:pPr>
        <w:pStyle w:val="Heading2"/>
        <w:keepNext w:val="false"/>
        <w:ind w:hanging="0" w:start="0"/>
        <w:rPr>
          <w:b w:val="false"/>
        </w:rPr>
      </w:pPr>
      <w:r>
        <w:rPr>
          <w:b w:val="false"/>
        </w:rPr>
      </w:r>
    </w:p>
    <w:p>
      <w:pPr>
        <w:pStyle w:val="Normal"/>
        <w:numPr>
          <w:ilvl w:val="2"/>
          <w:numId w:val="7"/>
        </w:numPr>
        <w:tabs>
          <w:tab w:val="clear" w:pos="720"/>
        </w:tabs>
        <w:rPr/>
      </w:pPr>
      <w:r>
        <w:rPr/>
        <w:t>Cottonwood Energy may not enter into any Power contracts, Gas contracts or Financial Instruments with a term of more than 540 days from the date of execution unless (w) the contract is substantially in the form of a Pre-Approved Form; (x) the Technical Committee has approved of such Power sale or Gas purchase or Financial Instrument; (y) the counterparty satisfies the credit requirements set forth in Section 5; and (z) the execution of such contracts will not cause Cottonwood Energy to violate the other provisions of this Exhibit.  If Cottonwood Energy intends to enter into any Power contracts, Gas contracts or Financial Instruments with a term of more than 540 days from the date of execution and the contract is not on a Pre-Approved Form, Cottonwood Energy shall submit the form for approval pursuant to Section 14 and the time for the approval of the form by the Technical Committee shall run concurrently with the time for the Technical Committee to approve of the execution of such contract.</w:t>
      </w:r>
    </w:p>
    <w:p>
      <w:pPr>
        <w:pStyle w:val="FootnoteText"/>
        <w:rPr/>
      </w:pPr>
      <w:r>
        <w:rPr/>
      </w:r>
    </w:p>
    <w:p>
      <w:pPr>
        <w:pStyle w:val="Normal"/>
        <w:numPr>
          <w:ilvl w:val="0"/>
          <w:numId w:val="7"/>
        </w:numPr>
        <w:tabs>
          <w:tab w:val="clear" w:pos="720"/>
        </w:tabs>
        <w:rPr/>
      </w:pPr>
      <w:r>
        <w:rPr>
          <w:u w:val="single"/>
        </w:rPr>
        <w:t>Procedure for Technical Committee Approval.</w:t>
      </w:r>
    </w:p>
    <w:p>
      <w:pPr>
        <w:pStyle w:val="FootnoteText"/>
        <w:ind w:firstLine="720" w:end="0"/>
        <w:rPr>
          <w:u w:val="single"/>
        </w:rPr>
      </w:pPr>
      <w:r>
        <w:rPr>
          <w:u w:val="single"/>
        </w:rPr>
      </w:r>
    </w:p>
    <w:p>
      <w:pPr>
        <w:pStyle w:val="Normal"/>
        <w:numPr>
          <w:ilvl w:val="1"/>
          <w:numId w:val="7"/>
        </w:numPr>
        <w:tabs>
          <w:tab w:val="clear" w:pos="720"/>
        </w:tabs>
        <w:rPr/>
      </w:pPr>
      <w:r>
        <w:rPr>
          <w:u w:val="single"/>
        </w:rPr>
        <w:t>Form Contracts.</w:t>
      </w:r>
      <w:r>
        <w:rPr/>
        <w:t xml:space="preserve">  Cottonwood Energy shall submit, as necessary, to the Technical Committee at any time and from time to time forms of Power contracts, Gas contracts and Financial Instruments.  The Technical Committee shall meet promptly to review such proposed form and shall respond to Cottonwood Energy with its approval or disapproval within ten Business Days after submission of the form to the Technical Committee.  The Technical Committee shall not unreasonably withhold approval of any form of contract proposed by Cottonwood Energy.  If the Technical Committee disapproves of the proposed form, it shall delineate in writing the reasons for the disapproval and deliver such writing contemporaneously with the notification of its disapproval.</w:t>
      </w:r>
    </w:p>
    <w:p>
      <w:pPr>
        <w:pStyle w:val="FootnoteText"/>
        <w:rPr/>
      </w:pPr>
      <w:r>
        <w:rPr/>
      </w:r>
    </w:p>
    <w:p>
      <w:pPr>
        <w:pStyle w:val="Normal"/>
        <w:numPr>
          <w:ilvl w:val="1"/>
          <w:numId w:val="7"/>
        </w:numPr>
        <w:tabs>
          <w:tab w:val="clear" w:pos="720"/>
        </w:tabs>
        <w:rPr/>
      </w:pPr>
      <w:r>
        <w:rPr>
          <w:u w:val="single"/>
        </w:rPr>
        <w:t>Long-Term Power Sales; Long-Term Fuel Purchases; Long-Term Financial Instruments.</w:t>
      </w:r>
      <w:r>
        <w:rPr/>
        <w:t xml:space="preserve">  Cottonwood Energy shall submit, as necessary, to the Technical Committee at any time and from time to time proposals to enter into or acquire Power contracts, Gas contracts, and Financial Instruments with a tenor in excess of 540 days.  The proposal shall include a copy of the completed contract and the certificate contemplated by Section 15 of this Exhibit.  The Technical Committee shall meet promptly to review such proposed contract and shall respond to Cottonwood Energy with its approval or disapproval within three Business Days after submission of the proposal to the Technical Committee to the extent such transaction is on a Pre-Approved Form and ten Business Days to the extent it is not on a Pre-Approved Form.  The Technical Committee shall not unreasonably withhold approval of any such proposed transaction.  If the Technical Committee disapproves of the proposed transaction, it shall delineate in writing the reasons for the disapproval and deliver such writing contemporaneously with the notification of its disapproval.</w:t>
      </w:r>
    </w:p>
    <w:p>
      <w:pPr>
        <w:pStyle w:val="Normal"/>
        <w:rPr/>
      </w:pPr>
      <w:r>
        <w:rPr/>
      </w:r>
    </w:p>
    <w:p>
      <w:pPr>
        <w:pStyle w:val="Normal"/>
        <w:numPr>
          <w:ilvl w:val="1"/>
          <w:numId w:val="7"/>
        </w:numPr>
        <w:tabs>
          <w:tab w:val="clear" w:pos="720"/>
        </w:tabs>
        <w:rPr/>
      </w:pPr>
      <w:r>
        <w:rPr>
          <w:u w:val="single"/>
        </w:rPr>
        <w:t>Approval of Satisfactory Security.</w:t>
      </w:r>
      <w:r>
        <w:rPr/>
        <w:t xml:space="preserve">  Cottonwood Energy shall submit, as necessary, to the Technical Committee at any time and from time to time a request for the approval of the Technical Committee of the form of the Satisfactory Security, as contemplated in the definition thereof, or the amount of any Satisfactory Security to be posted by a counterparty as required under Section 6 of this Exhibit.  Such request shall (i) describe the transaction and (ii) (A) if applicable, the proposed form of Satisfactory Security or (B) if applicable, Cottonwood Energy’s analysis of the potential value at risk under any such transaction and the value of the Satisfactory Security that Cottonwood Energy determines is appropriate for the transaction. The Technical Committee shall meet promptly to review such proposal and shall respond to Cottonwood Energy with its approval or disapproval within ten Business Days after submission of the proposal to the Technical Committee.  The Technical Committee shall not unreasonably withhold approval of any form of security or the value of any Satisfactory Security.  If the Technical Committee disapproves of the recommended value of the Satisfactory Security, it shall delineate in writing the reasons for the disapproval and its recommendation of the amount of the Satisfactory Security and deliver such writing contemporaneously with the notification of its disapproval. If the Technical Committee disapproves of the form of the Satisfactory Security, it shall delineate in writing the reasons for the disapproval and deliver such writing contemporaneously with the notification of its disapproval.</w:t>
      </w:r>
    </w:p>
    <w:p>
      <w:pPr>
        <w:pStyle w:val="Heading1"/>
        <w:keepNext w:val="false"/>
        <w:ind w:hanging="0" w:start="0"/>
        <w:rPr>
          <w:b w:val="false"/>
          <w:u w:val="none"/>
        </w:rPr>
      </w:pPr>
      <w:r>
        <w:rPr>
          <w:b w:val="false"/>
          <w:u w:val="none"/>
        </w:rPr>
      </w:r>
    </w:p>
    <w:p>
      <w:pPr>
        <w:pStyle w:val="Normal"/>
        <w:numPr>
          <w:ilvl w:val="1"/>
          <w:numId w:val="7"/>
        </w:numPr>
        <w:tabs>
          <w:tab w:val="clear" w:pos="720"/>
        </w:tabs>
        <w:rPr/>
      </w:pPr>
      <w:r>
        <w:rPr>
          <w:u w:val="single"/>
        </w:rPr>
        <w:t>Counterparties.</w:t>
      </w:r>
      <w:r>
        <w:rPr/>
        <w:t xml:space="preserve">  Cottonwood Energy shall submit, as necessary, to the Technical Committee at any time and from time to time a request to approve counterparties that do not have a debt rating by either S&amp;P or Moody's or counterparties who have a Below Investment Grade Rating.  The request shall have a proposed limit for any counterparty who has a Below Investment Grade Rating and the proposed "shadow" rating of any unrated counterparty.  The Technical Committee shall meet promptly to review such proposed counterparties and shall respond to Cottonwood Energy with its approval or disapproval within ten Business Days after submission of the request to the Technical Committee.  The Technical Committee shall not unreasonably withhold approval of any counterparty proposed by Cottonwood Energy.  If the Technical Committee disapproves of the proposed counterparties, it shall delineate in writing the reasons for the disapproval and deliver such writing contemporaneously with the notification of its disapproval.</w:t>
      </w:r>
    </w:p>
    <w:p>
      <w:pPr>
        <w:pStyle w:val="FootnoteText"/>
        <w:rPr/>
      </w:pPr>
      <w:r>
        <w:rPr/>
      </w:r>
    </w:p>
    <w:p>
      <w:pPr>
        <w:pStyle w:val="Normal"/>
        <w:numPr>
          <w:ilvl w:val="1"/>
          <w:numId w:val="7"/>
        </w:numPr>
        <w:tabs>
          <w:tab w:val="clear" w:pos="720"/>
        </w:tabs>
        <w:rPr/>
      </w:pPr>
      <w:r>
        <w:rPr>
          <w:u w:val="single"/>
        </w:rPr>
        <w:t>Market Price.</w:t>
      </w:r>
      <w:r>
        <w:rPr/>
        <w:t xml:space="preserve">  Cottonwood Energy shall submit, as necessary, to the Technical Committee at any time and from time to time a request to approve a reference index, whether through published indices or market quotations, for the determination of Market Price for each delivery point of Gas or Power.  The Technical Committee shall meet promptly to review such proposed reference index and shall respond to Cottonwood Energy with its approval or disapproval within ten Business Days after submission of the request to the Technical Committee.  The Technical Committee shall not unreasonably withhold approval of any referenced index proposed by Cottonwood Energy.  If the Technical Committee disapproves of the proposed referenced index, it shall delineate in writing the reasons for the disapproval and deliver such writing contemporaneously with the notification of its disapproval.</w:t>
      </w:r>
    </w:p>
    <w:p>
      <w:pPr>
        <w:pStyle w:val="Normal"/>
        <w:rPr/>
      </w:pPr>
      <w:r>
        <w:rPr/>
      </w:r>
    </w:p>
    <w:p>
      <w:pPr>
        <w:pStyle w:val="Normal"/>
        <w:numPr>
          <w:ilvl w:val="1"/>
          <w:numId w:val="7"/>
        </w:numPr>
        <w:tabs>
          <w:tab w:val="clear" w:pos="720"/>
        </w:tabs>
        <w:rPr/>
      </w:pPr>
      <w:r>
        <w:rPr>
          <w:u w:val="single"/>
        </w:rPr>
        <w:t>Termination of Positions</w:t>
      </w:r>
      <w:r>
        <w:rPr/>
        <w:t>.  Cottonwood Energy shall submit, as necessary, to the Technical Committee at any time and from time to time a request to approve an action to eliminate a Shortfall pursuant to Section 5(c).  The Technical Committee shall meet promptly to review such proposed actions and shall respond to Cottonwood Energy with its approval or disapproval within five Business Days after submission of the request to the Technical Committee.  The Technical Committee shall not unreasonably withhold approval of any action proposed by Cottonwood Energy.  If the Technical Committee disapproves of the proposed action, it shall delineate in writing the reasons for the disapproval and deliver such writing contemporaneously with the notification of its disapproval.</w:t>
      </w:r>
    </w:p>
    <w:p>
      <w:pPr>
        <w:pStyle w:val="Normal"/>
        <w:rPr/>
      </w:pPr>
      <w:r>
        <w:rPr/>
      </w:r>
    </w:p>
    <w:p>
      <w:pPr>
        <w:pStyle w:val="Normal"/>
        <w:numPr>
          <w:ilvl w:val="0"/>
          <w:numId w:val="7"/>
        </w:numPr>
        <w:tabs>
          <w:tab w:val="clear" w:pos="720"/>
        </w:tabs>
        <w:rPr/>
      </w:pPr>
      <w:r>
        <w:rPr>
          <w:u w:val="single"/>
        </w:rPr>
        <w:t>Assignment of Firm Contracts.</w:t>
      </w:r>
      <w:r>
        <w:rPr/>
        <w:t xml:space="preserve">  Any Power contract, Gas contract, Financial Instrument, transportation contract or transmission contract may be acquired by Cottonwood Energy by contribution from INA or one of its Affiliates or by purchase or otherwise from any other Person without the approval of any of the Lenders unless the consent of the Technical Committee is otherwise required if Cottonwood Energy were to have executed such contract.  If Cottonwood Energy proposes to acquire from INA or one of its Affiliates or any other Person any Power contract, Gas contract, Financial Instrument, transmission contract or transportation contract and the execution of such contract by Cottonwood Energy would have required the approval of the Technical Committee, then Cottonwood Energy shall not acquire such contract without obtaining the approval of the Technical Committee.</w:t>
      </w:r>
    </w:p>
    <w:p>
      <w:pPr>
        <w:pStyle w:val="Normal"/>
        <w:rPr/>
      </w:pPr>
      <w:r>
        <w:rPr/>
      </w:r>
    </w:p>
    <w:p>
      <w:pPr>
        <w:pStyle w:val="Normal"/>
        <w:numPr>
          <w:ilvl w:val="0"/>
          <w:numId w:val="7"/>
        </w:numPr>
        <w:tabs>
          <w:tab w:val="clear" w:pos="720"/>
        </w:tabs>
        <w:rPr/>
      </w:pPr>
      <w:r>
        <w:rPr>
          <w:u w:val="single"/>
        </w:rPr>
        <w:t>Reporting Requirements.</w:t>
      </w:r>
    </w:p>
    <w:p>
      <w:pPr>
        <w:pStyle w:val="Normal"/>
        <w:ind w:start="720" w:end="0"/>
        <w:rPr/>
      </w:pPr>
      <w:r>
        <w:rPr/>
      </w:r>
    </w:p>
    <w:p>
      <w:pPr>
        <w:pStyle w:val="Normal"/>
        <w:numPr>
          <w:ilvl w:val="1"/>
          <w:numId w:val="7"/>
        </w:numPr>
        <w:tabs>
          <w:tab w:val="clear" w:pos="720"/>
        </w:tabs>
        <w:rPr/>
      </w:pPr>
      <w:r>
        <w:rPr>
          <w:u w:val="single"/>
        </w:rPr>
        <w:t>Mark-to-Market Excess or Cash Flow Exposure Excess Notice.</w:t>
      </w:r>
      <w:r>
        <w:rPr/>
        <w:t xml:space="preserve">  Within three Business Days of a senior officer of Cottonwood Energy becoming aware of the existence of an Mark-to-Market Excess, Cash Flow Exposure Excess, an Imbalance that is in excess of eighteen calendar months or more from the date of calculation, a breach of the Absolute Volume Limit or a breach of the criteria established in Section 11 (a) of this Exhibit, Cottonwood Energy shall provide to the Administrative Agent a notice that such excess, imbalance or breach exists and, as applicable, the calculation of such Mark-to-Market Excess  Cash Flow Exposure Excess, Imbalance, Absolute Volume Limit or Gas shortfall pursuant to 11 (a) and such notice shall be provided at the close of business of Cottonwood Energy each day that such condition exists. </w:t>
      </w:r>
    </w:p>
    <w:p>
      <w:pPr>
        <w:pStyle w:val="Normal"/>
        <w:rPr/>
      </w:pPr>
      <w:r>
        <w:rPr/>
      </w:r>
    </w:p>
    <w:p>
      <w:pPr>
        <w:pStyle w:val="Normal"/>
        <w:numPr>
          <w:ilvl w:val="1"/>
          <w:numId w:val="7"/>
        </w:numPr>
        <w:tabs>
          <w:tab w:val="clear" w:pos="720"/>
        </w:tabs>
        <w:rPr/>
      </w:pPr>
      <w:r>
        <w:rPr>
          <w:u w:val="single"/>
        </w:rPr>
        <w:t>Monthly Officer's Certificate for Short-Term Transactions</w:t>
      </w:r>
      <w:r>
        <w:rPr/>
        <w:t>. On or before the date that Cottonwood Energy delivers each monthly status report pursuant to Section 5.11(g) of the Credit Agreement, Cottonwood Energy shall provide the Administrative Agent for delivery to the Lenders a certificate from a senior officer of Cottonwood Energy certifying as follows:</w:t>
      </w:r>
    </w:p>
    <w:p>
      <w:pPr>
        <w:pStyle w:val="FootnoteText"/>
        <w:rPr/>
      </w:pPr>
      <w:r>
        <w:rPr/>
      </w:r>
    </w:p>
    <w:p>
      <w:pPr>
        <w:pStyle w:val="Normal"/>
        <w:numPr>
          <w:ilvl w:val="2"/>
          <w:numId w:val="7"/>
        </w:numPr>
        <w:tabs>
          <w:tab w:val="clear" w:pos="720"/>
        </w:tabs>
        <w:rPr/>
      </w:pPr>
      <w:r>
        <w:rPr/>
        <w:t>Each day during the immediately preceding month Cottonwood Energy was in compliance with the requirements of this Exhibit, or Cottonwood Energy was not in compliance, specifying the instances of noncompliance.</w:t>
      </w:r>
    </w:p>
    <w:p>
      <w:pPr>
        <w:pStyle w:val="Normal"/>
        <w:rPr/>
      </w:pPr>
      <w:r>
        <w:rPr/>
      </w:r>
    </w:p>
    <w:p>
      <w:pPr>
        <w:pStyle w:val="Normal"/>
        <w:numPr>
          <w:ilvl w:val="2"/>
          <w:numId w:val="7"/>
        </w:numPr>
        <w:tabs>
          <w:tab w:val="clear" w:pos="720"/>
        </w:tabs>
        <w:rPr/>
      </w:pPr>
      <w:r>
        <w:rPr/>
        <w:t>each Firm Power contract, Firm Fuel Contract or Financial Instrument with a tenor of 61 to 540 days executed by Cottonwood Energy during the immediately preceding month (x) would not reasonably be expected, at the time of execution of such contract, to cause the Borrowing Base at the next Quarterly Payment Date to be less than the outstanding principal on all Senior Debt as of such Quarterly Payment Date, or (y) if the Borrowing Base is or would reasonably be expected, at the time of execution of such contract, to be less than the outstanding principal on all Senior Debt as of the such Quarterly Payment Date, would not reasonably be expected, at the time of execution of such contract, to be less than the Borrowing Base would have been at the next Quarterly Payment Date if such Firm Power Contract, Firm Fuel Contract or Financial Instrument had not been executed; and</w:t>
      </w:r>
    </w:p>
    <w:p>
      <w:pPr>
        <w:pStyle w:val="Normal"/>
        <w:rPr/>
      </w:pPr>
      <w:r>
        <w:rPr/>
      </w:r>
    </w:p>
    <w:p>
      <w:pPr>
        <w:pStyle w:val="Normal"/>
        <w:numPr>
          <w:ilvl w:val="2"/>
          <w:numId w:val="7"/>
        </w:numPr>
        <w:tabs>
          <w:tab w:val="clear" w:pos="720"/>
        </w:tabs>
        <w:rPr/>
      </w:pPr>
      <w:r>
        <w:rPr/>
        <w:t>each Firm Power Contract, Firm Fuel Contract or Financial Instrument with a tenor of 61 to 540 days executed by Cottonwood Energy during the immediately preceding month (x) would not reasonably be expected, at the time of execution of such contract, to cause an Mark-to-Market Excess to exist (after giving effect to all other Firm Power Contracts, Firm Fuel Contracts and Financial Instruments executed during such month) or, (y) if an Mark-to-Market Excess exists at the time of execution of such contract, would not reasonably be expected, at the time of execution of such contract, to cause the Mark-to-Market Excess to increase (after giving effect to all other Firm Power Contracts, Gas contracts and Financial Instruments executed during such month).</w:t>
      </w:r>
    </w:p>
    <w:p>
      <w:pPr>
        <w:pStyle w:val="Normal"/>
        <w:rPr/>
      </w:pPr>
      <w:r>
        <w:rPr/>
      </w:r>
    </w:p>
    <w:p>
      <w:pPr>
        <w:pStyle w:val="Normal"/>
        <w:numPr>
          <w:ilvl w:val="1"/>
          <w:numId w:val="7"/>
        </w:numPr>
        <w:tabs>
          <w:tab w:val="clear" w:pos="720"/>
        </w:tabs>
        <w:rPr/>
      </w:pPr>
      <w:r>
        <w:rPr>
          <w:u w:val="single"/>
        </w:rPr>
        <w:t>Officer's Certificate for Long-Term Transactions</w:t>
      </w:r>
      <w:r>
        <w:rPr/>
        <w:t>.  Contemporaneously with the submission by Cottonwood Energy to the Technical Committee of a request to approve a Firm Power Contract, Firm Fuel Contract or Financial Instrument with a tenor of more than 540 days, Cottonwood Energy shall provide the Administrative Agent a certificate from a senior officer of Cottonwood Energy certifying as follows:</w:t>
      </w:r>
    </w:p>
    <w:p>
      <w:pPr>
        <w:pStyle w:val="FootnoteText"/>
        <w:rPr/>
      </w:pPr>
      <w:r>
        <w:rPr/>
      </w:r>
    </w:p>
    <w:p>
      <w:pPr>
        <w:pStyle w:val="Normal"/>
        <w:numPr>
          <w:ilvl w:val="2"/>
          <w:numId w:val="7"/>
        </w:numPr>
        <w:tabs>
          <w:tab w:val="clear" w:pos="720"/>
        </w:tabs>
        <w:rPr/>
      </w:pPr>
      <w:r>
        <w:rPr/>
        <w:t>such Firm Power Contract, Firm Fuel Contract or Financial Instrument, as applicable, (x) shall not at the time of the proposed execution of such contract, cause the Borrowing Base as recalculated on such date to be less than the outstanding principal on all Senior Debt as of such date, or (y) if the Borrowing Base shall be at the time of the proposed execution of such contract less than the outstanding principal on all Senior Debt as of such date, the Borrowing Base as recalculated on such date shall not be less than the Borrowing Base immediately prior to the execution of such contract; and</w:t>
      </w:r>
    </w:p>
    <w:p>
      <w:pPr>
        <w:pStyle w:val="Normal"/>
        <w:rPr/>
      </w:pPr>
      <w:r>
        <w:rPr/>
      </w:r>
    </w:p>
    <w:p>
      <w:pPr>
        <w:pStyle w:val="Normal"/>
        <w:numPr>
          <w:ilvl w:val="2"/>
          <w:numId w:val="7"/>
        </w:numPr>
        <w:tabs>
          <w:tab w:val="clear" w:pos="720"/>
        </w:tabs>
        <w:rPr/>
      </w:pPr>
      <w:r>
        <w:rPr/>
        <w:t>such Firm Power Contract, Firm Fuel Contract or Financial Instrument, as applicable, (x) at the time of the proposed execution of such contract, shall not cause an Mark-to-Market Excess to exist on such date or, (y) if an Mark-to-Market Excess exists at the time of the proposed execution of such contract, shall not cause the Mark-to-Market Excess to increase.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Houston\1173913.24</w:t>
    </w:r>
    <w:r>
      <w:rPr/>
      <w:tab/>
      <w:t xml:space="preserve">- </w:t>
    </w:r>
    <w:r>
      <w:rPr/>
      <w:fldChar w:fldCharType="begin"/>
    </w:r>
    <w:r>
      <w:rPr/>
      <w:instrText xml:space="preserve"> PAGE </w:instrText>
    </w:r>
    <w:r>
      <w:rPr/>
      <w:fldChar w:fldCharType="separate"/>
    </w:r>
    <w:r>
      <w:rPr/>
      <w:t>21</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0" w:firstLine="1440"/>
      </w:pPr>
      <w:rPr/>
    </w:lvl>
  </w:abstractNum>
  <w:abstractNum w:abstractNumId="3">
    <w:lvl w:ilvl="0">
      <w:start w:val="1"/>
      <w:numFmt w:val="decimal"/>
      <w:lvlText w:val="SECTION %1."/>
      <w:lvlJc w:val="start"/>
      <w:pPr>
        <w:tabs>
          <w:tab w:val="num" w:pos="2160"/>
        </w:tabs>
        <w:ind w:start="0" w:firstLine="720"/>
      </w:pPr>
      <w:rPr/>
    </w:lvl>
    <w:lvl w:ilvl="1">
      <w:start w:val="1"/>
      <w:numFmt w:val="lowerLetter"/>
      <w:lvlText w:val="(%2)"/>
      <w:lvlJc w:val="start"/>
      <w:pPr>
        <w:tabs>
          <w:tab w:val="num" w:pos="1440"/>
        </w:tabs>
        <w:ind w:start="360" w:firstLine="720"/>
      </w:pPr>
      <w:rPr/>
    </w:lvl>
    <w:lvl w:ilvl="2">
      <w:start w:val="1"/>
      <w:numFmt w:val="decimal"/>
      <w:lvlText w:val="SECTION %3."/>
      <w:lvlJc w:val="start"/>
      <w:pPr>
        <w:tabs>
          <w:tab w:val="num" w:pos="3420"/>
        </w:tabs>
        <w:ind w:start="1260" w:firstLine="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SECTION %1."/>
      <w:lvlJc w:val="start"/>
      <w:pPr>
        <w:tabs>
          <w:tab w:val="num" w:pos="2160"/>
        </w:tabs>
        <w:ind w:start="0" w:firstLine="720"/>
      </w:pPr>
    </w:lvl>
    <w:lvl w:ilvl="1">
      <w:start w:val="1"/>
      <w:numFmt w:val="lowerLetter"/>
      <w:lvlText w:val="(%2)"/>
      <w:lvlJc w:val="start"/>
      <w:pPr>
        <w:tabs>
          <w:tab w:val="num" w:pos="1800"/>
        </w:tabs>
        <w:ind w:start="0" w:firstLine="1440"/>
      </w:pPr>
    </w:lvl>
    <w:lvl w:ilvl="2">
      <w:start w:val="1"/>
      <w:numFmt w:val="lowerRoman"/>
      <w:lvlText w:val="(%3)"/>
      <w:lvlJc w:val="start"/>
      <w:pPr>
        <w:tabs>
          <w:tab w:val="num" w:pos="2880"/>
        </w:tabs>
        <w:ind w:start="720" w:firstLine="1440"/>
      </w:pPr>
    </w:lvl>
    <w:lvl w:ilvl="3">
      <w:start w:val="1"/>
      <w:numFmt w:val="lowerRoman"/>
      <w:lvlText w:val="(%4)"/>
      <w:lvlJc w:val="start"/>
      <w:pPr>
        <w:tabs>
          <w:tab w:val="num" w:pos="2880"/>
        </w:tabs>
        <w:ind w:start="720" w:firstLine="1440"/>
      </w:pPr>
    </w:lvl>
    <w:lvl w:ilvl="4">
      <w:start w:val="1"/>
      <w:numFmt w:val="upperLetter"/>
      <w:lvlText w:val="(%5)"/>
      <w:lvlJc w:val="start"/>
      <w:pPr>
        <w:tabs>
          <w:tab w:val="num" w:pos="3240"/>
        </w:tabs>
        <w:ind w:start="2160" w:firstLine="720"/>
      </w:pPr>
    </w:lvl>
    <w:lvl w:ilvl="5">
      <w:start w:val="1"/>
      <w:numFmt w:val="decimal"/>
      <w:lvlText w:val="(%6)"/>
      <w:lvlJc w:val="start"/>
      <w:pPr>
        <w:tabs>
          <w:tab w:val="num" w:pos="3960"/>
        </w:tabs>
        <w:ind w:start="2880" w:firstLine="72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2"/>
      <w:numFmt w:val="lowerRoman"/>
      <w:lvlText w:val="(%1)"/>
      <w:lvlJc w:val="start"/>
      <w:pPr>
        <w:tabs>
          <w:tab w:val="num" w:pos="1080"/>
        </w:tabs>
        <w:ind w:start="0" w:hanging="0"/>
      </w:pPr>
    </w:lvl>
  </w:abstractNum>
  <w:abstractNum w:abstractNumId="6">
    <w:lvl w:ilvl="0">
      <w:start w:val="2"/>
      <w:numFmt w:val="lowerRoman"/>
      <w:lvlText w:val="(%1)"/>
      <w:lvlJc w:val="start"/>
      <w:pPr>
        <w:tabs>
          <w:tab w:val="num" w:pos="1080"/>
        </w:tabs>
        <w:ind w:start="0" w:hanging="0"/>
      </w:pPr>
    </w:lvl>
  </w:abstractNum>
  <w:abstractNum w:abstractNumId="7">
    <w:lvl w:ilvl="0">
      <w:start w:val="1"/>
      <w:numFmt w:val="decimal"/>
      <w:lvlText w:val="SECTION %1."/>
      <w:lvlJc w:val="start"/>
      <w:pPr>
        <w:tabs>
          <w:tab w:val="num" w:pos="2160"/>
        </w:tabs>
        <w:ind w:start="0" w:firstLine="720"/>
      </w:pPr>
    </w:lvl>
    <w:lvl w:ilvl="1">
      <w:start w:val="1"/>
      <w:numFmt w:val="lowerLetter"/>
      <w:lvlText w:val="(%2)"/>
      <w:lvlJc w:val="start"/>
      <w:pPr>
        <w:tabs>
          <w:tab w:val="num" w:pos="1800"/>
        </w:tabs>
        <w:ind w:start="0" w:firstLine="1440"/>
      </w:pPr>
    </w:lvl>
    <w:lvl w:ilvl="2">
      <w:start w:val="1"/>
      <w:numFmt w:val="lowerRoman"/>
      <w:lvlText w:val="(%3)"/>
      <w:lvlJc w:val="start"/>
      <w:pPr>
        <w:tabs>
          <w:tab w:val="num" w:pos="2880"/>
        </w:tabs>
        <w:ind w:start="720" w:firstLine="1440"/>
      </w:pPr>
    </w:lvl>
    <w:lvl w:ilvl="3">
      <w:start w:val="1"/>
      <w:numFmt w:val="lowerRoman"/>
      <w:lvlText w:val="(%4)"/>
      <w:lvlJc w:val="start"/>
      <w:pPr>
        <w:tabs>
          <w:tab w:val="num" w:pos="2880"/>
        </w:tabs>
        <w:ind w:start="720" w:firstLine="1440"/>
      </w:pPr>
    </w:lvl>
    <w:lvl w:ilvl="4">
      <w:start w:val="1"/>
      <w:numFmt w:val="upperLetter"/>
      <w:lvlText w:val="(%5)"/>
      <w:lvlJc w:val="start"/>
      <w:pPr>
        <w:tabs>
          <w:tab w:val="num" w:pos="3240"/>
        </w:tabs>
        <w:ind w:start="2160" w:firstLine="720"/>
      </w:pPr>
    </w:lvl>
    <w:lvl w:ilvl="5">
      <w:start w:val="1"/>
      <w:numFmt w:val="decimal"/>
      <w:lvlText w:val="(%6)"/>
      <w:lvlJc w:val="start"/>
      <w:pPr>
        <w:tabs>
          <w:tab w:val="num" w:pos="3960"/>
        </w:tabs>
        <w:ind w:start="2880" w:firstLine="72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8">
    <w:lvl w:ilvl="0">
      <w:start w:val="1"/>
      <w:numFmt w:val="lowerRoman"/>
      <w:lvlText w:val="(%1)"/>
      <w:lvlJc w:val="start"/>
      <w:pPr>
        <w:tabs>
          <w:tab w:val="num" w:pos="1080"/>
        </w:tabs>
        <w:ind w:start="0" w:hanging="0"/>
      </w:pPr>
    </w:lvl>
  </w:abstractNum>
  <w:abstractNum w:abstractNumId="9">
    <w:lvl w:ilvl="0">
      <w:start w:val="1"/>
      <w:numFmt w:val="lowerRoman"/>
      <w:lvlText w:val="(%1)"/>
      <w:lvlJc w:val="start"/>
      <w:pPr>
        <w:tabs>
          <w:tab w:val="num" w:pos="108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style>
  <w:style w:type="character" w:styleId="WW8Num58z0">
    <w:name w:val="WW8Num58z0"/>
    <w:qFormat/>
    <w:rPr/>
  </w:style>
  <w:style w:type="character" w:styleId="WW8Num59z0">
    <w:name w:val="WW8Num59z0"/>
    <w:qFormat/>
    <w:rPr>
      <w:rFonts w:ascii="Symbol" w:hAnsi="Symbol" w:cs="Symbol"/>
    </w:rPr>
  </w:style>
  <w:style w:type="character" w:styleId="WW8Num61z0">
    <w:name w:val="WW8Num61z0"/>
    <w:qFormat/>
    <w:rPr/>
  </w:style>
  <w:style w:type="character" w:styleId="WW8Num64z0">
    <w:name w:val="WW8Num64z0"/>
    <w:qFormat/>
    <w:rPr>
      <w:i w:val="false"/>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6z0">
    <w:name w:val="WW8Num86z0"/>
    <w:qFormat/>
    <w:rPr/>
  </w:style>
  <w:style w:type="character" w:styleId="WW8Num88z0">
    <w:name w:val="WW8Num88z0"/>
    <w:qFormat/>
    <w:rPr/>
  </w:style>
  <w:style w:type="character" w:styleId="WW8Num90z0">
    <w:name w:val="WW8Num90z0"/>
    <w:qFormat/>
    <w:rPr/>
  </w:style>
  <w:style w:type="character" w:styleId="WW8Num92z0">
    <w:name w:val="WW8Num92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5z0">
    <w:name w:val="WW8Num105z0"/>
    <w:qFormat/>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20z0">
    <w:name w:val="WW8Num120z0"/>
    <w:qFormat/>
    <w:rPr/>
  </w:style>
  <w:style w:type="character" w:styleId="WW8Num122z0">
    <w:name w:val="WW8Num122z0"/>
    <w:qFormat/>
    <w:rPr/>
  </w:style>
  <w:style w:type="character" w:styleId="WW8Num123z0">
    <w:name w:val="WW8Num123z0"/>
    <w:qFormat/>
    <w:rPr/>
  </w:style>
  <w:style w:type="character" w:styleId="WW8Num125z0">
    <w:name w:val="WW8Num125z0"/>
    <w:qFormat/>
    <w:rPr/>
  </w:style>
  <w:style w:type="character" w:styleId="WW8Num127z0">
    <w:name w:val="WW8Num127z0"/>
    <w:qFormat/>
    <w:rPr/>
  </w:style>
  <w:style w:type="character" w:styleId="WW8Num129z0">
    <w:name w:val="WW8Num129z0"/>
    <w:qFormat/>
    <w:rPr/>
  </w:style>
  <w:style w:type="character" w:styleId="WW8Num130z0">
    <w:name w:val="WW8Num130z0"/>
    <w:qFormat/>
    <w:rPr/>
  </w:style>
  <w:style w:type="character" w:styleId="WW8Num131z0">
    <w:name w:val="WW8Num13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720" w:start="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2001-07-09T21:17:00Z</dcterms:created>
  <dc:creator>Bracewell &amp; Patterson, LLP</dc:creator>
  <dc:description/>
  <dc:language>en-CA</dc:language>
  <cp:lastModifiedBy>ARovito</cp:lastModifiedBy>
  <cp:lastPrinted>2000-12-21T15:57:00Z</cp:lastPrinted>
  <dcterms:modified xsi:type="dcterms:W3CDTF">2001-07-09T21:17:00Z</dcterms:modified>
  <cp:revision>2</cp:revision>
  <dc:subject/>
  <dc:title>ENERGY MANAGEMENT COVENANTS</dc:title>
</cp:coreProperties>
</file>