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EL PASO ELECTRIC USERS MANUAL</w:t>
      </w:r>
    </w:p>
    <w:p>
      <w:pPr>
        <w:pStyle w:val="Normal"/>
        <w:jc w:val="center"/>
        <w:rPr>
          <w:sz w:val="28"/>
        </w:rPr>
      </w:pPr>
      <w:r>
        <w:rPr>
          <w:sz w:val="28"/>
        </w:rPr>
      </w:r>
    </w:p>
    <w:p>
      <w:pPr>
        <w:pStyle w:val="Normal"/>
        <w:rPr>
          <w:b/>
          <w:sz w:val="28"/>
        </w:rPr>
      </w:pPr>
      <w:r>
        <w:rPr>
          <w:b/>
          <w:sz w:val="28"/>
        </w:rPr>
        <w:t>El Paso System :</w:t>
      </w:r>
    </w:p>
    <w:p>
      <w:pPr>
        <w:pStyle w:val="Normal"/>
        <w:rPr>
          <w:b/>
          <w:sz w:val="28"/>
        </w:rPr>
      </w:pPr>
      <w:r>
        <w:rPr>
          <w:b/>
          <w:sz w:val="28"/>
        </w:rPr>
      </w:r>
    </w:p>
    <w:p>
      <w:pPr>
        <w:pStyle w:val="BodyText"/>
        <w:rPr/>
      </w:pPr>
      <w:r>
        <w:rPr/>
        <w:t xml:space="preserve">The El Paso Electric Co. serves the city of El Paso in Southwest Texas. The El Paso system is a summer load peaking system that peaks at 1445Mw. With a winter peak of 1182 Mw. </w:t>
      </w:r>
    </w:p>
    <w:p>
      <w:pPr>
        <w:pStyle w:val="BodyText"/>
        <w:rPr/>
      </w:pPr>
      <w:r>
        <w:rPr/>
      </w:r>
    </w:p>
    <w:p>
      <w:pPr>
        <w:pStyle w:val="BodyText"/>
        <w:rPr/>
      </w:pPr>
      <w:r>
        <w:rPr/>
        <w:t xml:space="preserve">The El Paso system usually has two peaks during the peak summer months. The first occurs from HE 13 thru He 15 then again the super peak from HE 19 thru 21. </w:t>
      </w:r>
    </w:p>
    <w:p>
      <w:pPr>
        <w:pStyle w:val="BodyText"/>
        <w:rPr/>
      </w:pPr>
      <w:r>
        <w:rPr/>
      </w:r>
    </w:p>
    <w:p>
      <w:pPr>
        <w:pStyle w:val="BodyText"/>
        <w:rPr>
          <w:b/>
        </w:rPr>
      </w:pPr>
      <w:r>
        <w:rPr>
          <w:b/>
        </w:rPr>
        <w:t xml:space="preserve"> </w:t>
      </w:r>
      <w:r>
        <w:rPr>
          <w:b/>
        </w:rPr>
        <w:t>Enron marketing :</w:t>
      </w:r>
    </w:p>
    <w:p>
      <w:pPr>
        <w:pStyle w:val="BodyText"/>
        <w:rPr>
          <w:b/>
        </w:rPr>
      </w:pPr>
      <w:r>
        <w:rPr>
          <w:b/>
        </w:rPr>
      </w:r>
    </w:p>
    <w:p>
      <w:pPr>
        <w:pStyle w:val="BodyText"/>
        <w:rPr/>
      </w:pPr>
      <w:r>
        <w:rPr/>
        <w:t xml:space="preserve">Enron Real Time serves as El Paso’s marketing agent during off peak hours and weekends. The Real Time group is charged with maintaining Spin reserves and marketing the generation assets of El Paso. </w:t>
      </w:r>
    </w:p>
    <w:p>
      <w:pPr>
        <w:pStyle w:val="BodyText"/>
        <w:rPr/>
      </w:pPr>
      <w:r>
        <w:rPr/>
      </w:r>
    </w:p>
    <w:p>
      <w:pPr>
        <w:pStyle w:val="BodyText"/>
        <w:rPr/>
      </w:pPr>
      <w:r>
        <w:rPr/>
        <w:t xml:space="preserve">To contact the El Paso power dispatchers call 915-877-1602. </w:t>
      </w:r>
    </w:p>
    <w:p>
      <w:pPr>
        <w:pStyle w:val="BodyText"/>
        <w:rPr/>
      </w:pPr>
      <w:r>
        <w:rPr/>
      </w:r>
    </w:p>
    <w:p>
      <w:pPr>
        <w:pStyle w:val="BodyText"/>
        <w:rPr/>
      </w:pPr>
      <w:r>
        <w:rPr/>
        <w:t>To contact the El Paso marketing staff, Roger Hawkins, Tony Soto or Steve Buraczyk call 915-543-5872.</w:t>
      </w:r>
    </w:p>
    <w:p>
      <w:pPr>
        <w:pStyle w:val="BodyText"/>
        <w:rPr/>
      </w:pPr>
      <w:r>
        <w:rPr/>
      </w:r>
    </w:p>
    <w:p>
      <w:pPr>
        <w:pStyle w:val="BodyText"/>
        <w:rPr/>
      </w:pPr>
      <w:r>
        <w:rPr/>
        <w:t xml:space="preserve">To contact the El Paso settlements staff, Kathy Peterson, call 915-543-2039. </w:t>
      </w:r>
    </w:p>
    <w:p>
      <w:pPr>
        <w:pStyle w:val="BodyText"/>
        <w:rPr/>
      </w:pPr>
      <w:r>
        <w:rPr/>
      </w:r>
    </w:p>
    <w:p>
      <w:pPr>
        <w:pStyle w:val="BodyText"/>
        <w:rPr/>
      </w:pPr>
      <w:r>
        <w:rPr/>
        <w:t>To contact the Marketing staff after hours call 915-543-5808.</w:t>
      </w:r>
    </w:p>
    <w:p>
      <w:pPr>
        <w:pStyle w:val="BodyText"/>
        <w:rPr/>
      </w:pPr>
      <w:r>
        <w:rPr/>
      </w:r>
    </w:p>
    <w:p>
      <w:pPr>
        <w:pStyle w:val="BodyText"/>
        <w:rPr>
          <w:b/>
        </w:rPr>
      </w:pPr>
      <w:r>
        <w:rPr>
          <w:b/>
        </w:rPr>
        <w:t>El Paso Scrape:</w:t>
      </w:r>
    </w:p>
    <w:p>
      <w:pPr>
        <w:pStyle w:val="BodyText"/>
        <w:rPr>
          <w:b/>
        </w:rPr>
      </w:pPr>
      <w:r>
        <w:rPr>
          <w:b/>
        </w:rPr>
      </w:r>
    </w:p>
    <w:p>
      <w:pPr>
        <w:pStyle w:val="BodyText"/>
        <w:rPr/>
      </w:pPr>
      <w:r>
        <w:rPr/>
        <w:t xml:space="preserve">El Paso provides a Real Time feed, via the Internet, from their unit status computers. This web site can be found at </w:t>
      </w:r>
      <w:hyperlink r:id="rId2">
        <w:r>
          <w:rPr>
            <w:rStyle w:val="Hyperlink"/>
          </w:rPr>
          <w:t>http://dotect.ect.enron.com/genstat/epe/status/recent.csv</w:t>
        </w:r>
      </w:hyperlink>
      <w:r>
        <w:rPr/>
        <w:t xml:space="preserve">. </w:t>
      </w:r>
    </w:p>
    <w:p>
      <w:pPr>
        <w:pStyle w:val="BodyText"/>
        <w:rPr/>
      </w:pPr>
      <w:r>
        <w:rPr/>
      </w:r>
    </w:p>
    <w:p>
      <w:pPr>
        <w:pStyle w:val="BodyText"/>
        <w:rPr/>
      </w:pPr>
      <w:r>
        <w:rPr/>
        <w:t>Examples with explanations are attached:</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rPr>
      </w:pPr>
      <w:r>
        <w:rPr>
          <w:b/>
        </w:rPr>
        <w:t>El Paso Model:</w:t>
      </w:r>
    </w:p>
    <w:p>
      <w:pPr>
        <w:pStyle w:val="BodyText"/>
        <w:rPr>
          <w:b/>
        </w:rPr>
      </w:pPr>
      <w:r>
        <w:rPr>
          <w:b/>
        </w:rPr>
      </w:r>
    </w:p>
    <w:p>
      <w:pPr>
        <w:pStyle w:val="BodyText"/>
        <w:rPr/>
      </w:pPr>
      <w:r>
        <w:rPr/>
        <w:t xml:space="preserve">Hourly updates to the El Paso model are the responsibility of the Enron Real Time group. The El Paso Model can be found in Excel </w:t>
      </w:r>
    </w:p>
    <w:p>
      <w:pPr>
        <w:pStyle w:val="BodyText"/>
        <w:rPr/>
      </w:pPr>
      <w:r>
        <w:rPr/>
        <w:t>M: Drive/Electric/EPE/2000/MARCH/03___15ACT (current date).</w:t>
      </w:r>
    </w:p>
    <w:p>
      <w:pPr>
        <w:pStyle w:val="BodyText"/>
        <w:rPr/>
      </w:pPr>
      <w:r>
        <w:rPr/>
      </w:r>
    </w:p>
    <w:p>
      <w:pPr>
        <w:pStyle w:val="BodyText"/>
        <w:rPr/>
      </w:pPr>
      <w:r>
        <w:rPr/>
        <w:t>The model is updated at the bottom of the hour using the automated loading function in the Model. If manual entry is needed go to http://dotect.ect.enron.com/genstat/epe/000407 (current date) this will display the previous scrapes.</w:t>
      </w:r>
    </w:p>
    <w:p>
      <w:pPr>
        <w:pStyle w:val="BodyText"/>
        <w:rPr/>
      </w:pPr>
      <w:r>
        <w:rPr/>
      </w:r>
    </w:p>
    <w:p>
      <w:pPr>
        <w:pStyle w:val="BodyText"/>
        <w:rPr/>
      </w:pPr>
      <w:r>
        <w:rPr/>
        <w:t>Example below:</w:t>
      </w:r>
    </w:p>
    <w:p>
      <w:pPr>
        <w:pStyle w:val="BodyText"/>
        <w:rPr/>
      </w:pPr>
      <w:r>
        <w:rPr/>
      </w:r>
    </w:p>
    <w:p>
      <w:pPr>
        <w:pStyle w:val="BodyText"/>
        <w:rPr/>
      </w:pPr>
      <w:r>
        <w:rPr/>
        <w:t>0032:05  04/17/00</w:t>
      </w:r>
    </w:p>
    <w:p>
      <w:pPr>
        <w:pStyle w:val="BodyText"/>
        <w:rPr/>
      </w:pPr>
      <w:r>
        <w:rPr/>
        <w:t>NEWMAN 1 ,ECON, 66  , 66  , 37  , 82  ,  0  ,1</w:t>
      </w:r>
    </w:p>
    <w:p>
      <w:pPr>
        <w:pStyle w:val="BodyText"/>
        <w:rPr/>
      </w:pPr>
      <w:r>
        <w:rPr/>
        <w:t>NEWMAN 2 ,ECON, 76  , 77  , 38  , 83  ,  1  ,1</w:t>
      </w:r>
    </w:p>
    <w:p>
      <w:pPr>
        <w:pStyle w:val="BodyText"/>
        <w:rPr/>
      </w:pPr>
      <w:r>
        <w:rPr/>
        <w:t>NEWMAN 3 ,UNAV, -0  ,100  , -1  ,103  ,  0  ,1</w:t>
      </w:r>
    </w:p>
    <w:p>
      <w:pPr>
        <w:pStyle w:val="BodyText"/>
        <w:rPr/>
      </w:pPr>
      <w:r>
        <w:rPr/>
        <w:t>NEWMN/GT1,MANL, 11  , 60  , 18  , 60  ,  0  ,1</w:t>
      </w:r>
    </w:p>
    <w:p>
      <w:pPr>
        <w:pStyle w:val="BodyText"/>
        <w:rPr/>
      </w:pPr>
      <w:r>
        <w:rPr/>
        <w:t>NEWMN/GT2,MANL, 10  , 60  , 18  , 60  ,  0  ,1</w:t>
      </w:r>
    </w:p>
    <w:p>
      <w:pPr>
        <w:pStyle w:val="BodyText"/>
        <w:rPr/>
      </w:pPr>
      <w:r>
        <w:rPr/>
        <w:t>NM/GT1+ST,UNAV,  0  , 99  , 47  ,107  ,  0  ,1</w:t>
      </w:r>
    </w:p>
    <w:p>
      <w:pPr>
        <w:pStyle w:val="BodyText"/>
        <w:rPr/>
      </w:pPr>
      <w:r>
        <w:rPr/>
        <w:t>NM/GT2+ST,UNAV,  0  ,107  , 47  ,107  ,  0  ,1</w:t>
      </w:r>
    </w:p>
    <w:p>
      <w:pPr>
        <w:pStyle w:val="BodyText"/>
        <w:rPr/>
      </w:pPr>
      <w:r>
        <w:rPr/>
        <w:t>NEWMAN 4 ,UNAV,  0  ,204  , 86  ,214  ,  0  ,1</w:t>
      </w:r>
    </w:p>
    <w:p>
      <w:pPr>
        <w:pStyle w:val="BodyText"/>
        <w:rPr/>
      </w:pPr>
      <w:r>
        <w:rPr/>
        <w:t xml:space="preserve">NEWMAN   ,, 164 ,  263,  111, 285 ,   1 , </w:t>
      </w:r>
    </w:p>
    <w:p>
      <w:pPr>
        <w:pStyle w:val="BodyText"/>
        <w:rPr/>
      </w:pPr>
      <w:r>
        <w:rPr/>
        <w:t>COPPER   ,UNAV, -0  , 69  , 10  , 70  ,  0  ,1</w:t>
      </w:r>
    </w:p>
    <w:p>
      <w:pPr>
        <w:pStyle w:val="BodyText"/>
        <w:rPr/>
      </w:pPr>
      <w:r>
        <w:rPr/>
        <w:t>RIOGRAN 6,MANL, 39  , 44  , 28  , 49  ,  6  ,1</w:t>
      </w:r>
    </w:p>
    <w:p>
      <w:pPr>
        <w:pStyle w:val="BodyText"/>
        <w:rPr/>
      </w:pPr>
      <w:r>
        <w:rPr/>
        <w:t>RIOGRAN 7,UNAV,  0  , 40  , 26  , 49  ,  0  ,1</w:t>
      </w:r>
    </w:p>
    <w:p>
      <w:pPr>
        <w:pStyle w:val="BodyText"/>
        <w:rPr/>
      </w:pPr>
      <w:r>
        <w:rPr/>
        <w:t>RIOGRAN 8,MANL, 69  ,120  , 55  ,151  ,  0  ,1</w:t>
      </w:r>
    </w:p>
    <w:p>
      <w:pPr>
        <w:pStyle w:val="BodyText"/>
        <w:rPr/>
      </w:pPr>
      <w:r>
        <w:rPr/>
        <w:t xml:space="preserve">RIOGRANDE,, 107 ,  164,   83, 200 ,   6 , </w:t>
      </w:r>
    </w:p>
    <w:p>
      <w:pPr>
        <w:pStyle w:val="BodyText"/>
        <w:rPr/>
      </w:pPr>
      <w:r>
        <w:rPr/>
        <w:t>PALOVERDE,MANL,399  ,399  ,399  ,600  ,  0  ,1</w:t>
      </w:r>
    </w:p>
    <w:p>
      <w:pPr>
        <w:pStyle w:val="BodyText"/>
        <w:rPr/>
      </w:pPr>
      <w:r>
        <w:rPr/>
        <w:t>FOURCRNRS,MANL, 52  , 52  , 52  ,104  ,  0  ,1</w:t>
      </w:r>
    </w:p>
    <w:p>
      <w:pPr>
        <w:pStyle w:val="BodyText"/>
        <w:rPr/>
      </w:pPr>
      <w:r>
        <w:rPr/>
        <w:t>LAMBDA, 28.26,  611,  612,  108,  -12,    0,11532,15</w:t>
      </w:r>
    </w:p>
    <w:p>
      <w:pPr>
        <w:pStyle w:val="BodyText"/>
        <w:rPr/>
      </w:pPr>
      <w:r>
        <w:rPr/>
        <w:t>PGT     ,LOSS    ,LC,  ,  -2,  -2</w:t>
      </w:r>
    </w:p>
    <w:p>
      <w:pPr>
        <w:pStyle w:val="BodyText"/>
        <w:rPr/>
      </w:pPr>
      <w:r>
        <w:rPr/>
        <w:t>PNM     ,CNTG    ,LC,  ,  11,  11</w:t>
      </w:r>
    </w:p>
    <w:p>
      <w:pPr>
        <w:pStyle w:val="BodyText"/>
        <w:rPr/>
      </w:pPr>
      <w:r>
        <w:rPr/>
        <w:t>PNM     ,LOSS    ,WM,  ,   4,   4</w:t>
      </w:r>
    </w:p>
    <w:p>
      <w:pPr>
        <w:pStyle w:val="BodyText"/>
        <w:rPr/>
      </w:pPr>
      <w:r>
        <w:rPr/>
        <w:t>SRP     ,LOSS    ,PV,  ,   1,   1</w:t>
      </w:r>
    </w:p>
    <w:p>
      <w:pPr>
        <w:pStyle w:val="BodyText"/>
        <w:rPr/>
      </w:pPr>
      <w:r>
        <w:rPr/>
        <w:t>SRP     ,LOSS    ,PV,  ,  -1,  -1</w:t>
      </w:r>
    </w:p>
    <w:p>
      <w:pPr>
        <w:pStyle w:val="BodyText"/>
        <w:rPr/>
      </w:pPr>
      <w:r>
        <w:rPr/>
        <w:t>TNP     ,FIRM    ,HI,  ,  25,  25</w:t>
      </w:r>
    </w:p>
    <w:p>
      <w:pPr>
        <w:pStyle w:val="BodyText"/>
        <w:rPr/>
      </w:pPr>
      <w:r>
        <w:rPr/>
        <w:t>TNP     ,LOSS    ,AM,  ,  -5,  -5</w:t>
      </w:r>
    </w:p>
    <w:p>
      <w:pPr>
        <w:pStyle w:val="BodyText"/>
        <w:rPr/>
      </w:pPr>
      <w:r>
        <w:rPr/>
        <w:t>CISO    ,FIRM    ,FC,  ,  40,   0</w:t>
      </w:r>
    </w:p>
    <w:p>
      <w:pPr>
        <w:pStyle w:val="BodyText"/>
        <w:rPr/>
      </w:pPr>
      <w:r>
        <w:rPr/>
        <w:t>CALPX   ,FIRM    ,PV,  ,  50,  50</w:t>
      </w:r>
    </w:p>
    <w:p>
      <w:pPr>
        <w:pStyle w:val="BodyText"/>
        <w:rPr/>
      </w:pPr>
      <w:r>
        <w:rPr/>
      </w:r>
    </w:p>
    <w:p>
      <w:pPr>
        <w:pStyle w:val="BodyText"/>
        <w:rPr/>
      </w:pPr>
      <w:r>
        <w:rPr/>
      </w:r>
    </w:p>
    <w:p>
      <w:pPr>
        <w:pStyle w:val="BodyText"/>
        <w:rPr/>
      </w:pPr>
      <w:r>
        <w:rPr/>
      </w:r>
    </w:p>
    <w:p>
      <w:pPr>
        <w:pStyle w:val="BodyText"/>
        <w:rPr>
          <w:b/>
        </w:rPr>
      </w:pPr>
      <w:r>
        <w:rPr>
          <w:b/>
        </w:rPr>
        <w:t>Generation:</w:t>
      </w:r>
    </w:p>
    <w:p>
      <w:pPr>
        <w:pStyle w:val="BodyText"/>
        <w:rPr>
          <w:b/>
        </w:rPr>
      </w:pPr>
      <w:r>
        <w:rPr>
          <w:b/>
        </w:rPr>
      </w:r>
    </w:p>
    <w:p>
      <w:pPr>
        <w:pStyle w:val="BodyText"/>
        <w:rPr/>
      </w:pPr>
      <w:r>
        <w:rPr/>
        <w:t>El Paso owns several local generation plants within their control area as well portions of several remote generation stations.</w:t>
      </w:r>
    </w:p>
    <w:p>
      <w:pPr>
        <w:pStyle w:val="BodyText"/>
        <w:rPr/>
      </w:pPr>
      <w:r>
        <w:rPr/>
      </w:r>
    </w:p>
    <w:p>
      <w:pPr>
        <w:pStyle w:val="BodyText"/>
        <w:rPr/>
      </w:pPr>
      <w:r>
        <w:rPr/>
        <w:t xml:space="preserve">Local Generation Units - </w:t>
      </w:r>
    </w:p>
    <w:p>
      <w:pPr>
        <w:pStyle w:val="BodyText"/>
        <w:rPr/>
      </w:pPr>
      <w:r>
        <w:rPr/>
      </w:r>
    </w:p>
    <w:p>
      <w:pPr>
        <w:pStyle w:val="BodyText"/>
        <w:rPr/>
      </w:pPr>
      <w:r>
        <w:rPr/>
        <w:t xml:space="preserve">Newman units 1 , 2 &amp; 3 are gas/oil fired. </w:t>
      </w:r>
    </w:p>
    <w:p>
      <w:pPr>
        <w:pStyle w:val="BodyText"/>
        <w:rPr/>
      </w:pPr>
      <w:r>
        <w:rPr/>
      </w:r>
    </w:p>
    <w:p>
      <w:pPr>
        <w:pStyle w:val="BodyText"/>
        <w:rPr/>
      </w:pPr>
      <w:r>
        <w:rPr/>
        <w:t>Newman units 1 &amp; 2 have a nameplate rating of 82Mw.</w:t>
      </w:r>
    </w:p>
    <w:p>
      <w:pPr>
        <w:pStyle w:val="BodyText"/>
        <w:rPr/>
      </w:pPr>
      <w:r>
        <w:rPr/>
        <w:t>Newman unit   3        has a nameplate rating of 103 Mw.</w:t>
      </w:r>
    </w:p>
    <w:p>
      <w:pPr>
        <w:pStyle w:val="BodyText"/>
        <w:rPr/>
      </w:pPr>
      <w:r>
        <w:rPr/>
      </w:r>
    </w:p>
    <w:p>
      <w:pPr>
        <w:pStyle w:val="BodyText"/>
        <w:rPr/>
      </w:pPr>
      <w:r>
        <w:rPr/>
        <w:t xml:space="preserve">Newman unit 4 is a combined cycle gas turbine and steamer combination plant. </w:t>
      </w:r>
    </w:p>
    <w:p>
      <w:pPr>
        <w:pStyle w:val="BodyText"/>
        <w:rPr/>
      </w:pPr>
      <w:r>
        <w:rPr/>
        <w:t>Newman unit   4     has a nameplate rating of 215 Mw.</w:t>
      </w:r>
    </w:p>
    <w:p>
      <w:pPr>
        <w:pStyle w:val="BodyText"/>
        <w:rPr/>
      </w:pPr>
      <w:r>
        <w:rPr/>
      </w:r>
    </w:p>
    <w:p>
      <w:pPr>
        <w:pStyle w:val="BodyText"/>
        <w:rPr/>
      </w:pPr>
      <w:r>
        <w:rPr/>
        <w:t>Rio Grande units  6, 7 &amp; 8 are gas/oil fired.</w:t>
      </w:r>
    </w:p>
    <w:p>
      <w:pPr>
        <w:pStyle w:val="BodyText"/>
        <w:rPr/>
      </w:pPr>
      <w:r>
        <w:rPr/>
      </w:r>
    </w:p>
    <w:p>
      <w:pPr>
        <w:pStyle w:val="BodyText"/>
        <w:rPr/>
      </w:pPr>
      <w:r>
        <w:rPr/>
        <w:t xml:space="preserve">Rio Grande units 6&amp;7 have a nameplate rating of 49Mw. </w:t>
      </w:r>
    </w:p>
    <w:p>
      <w:pPr>
        <w:pStyle w:val="BodyText"/>
        <w:rPr/>
      </w:pPr>
      <w:r>
        <w:rPr/>
      </w:r>
    </w:p>
    <w:p>
      <w:pPr>
        <w:pStyle w:val="BodyText"/>
        <w:rPr/>
      </w:pPr>
      <w:r>
        <w:rPr/>
        <w:t>Rio Grande unit  8  has a nameplate rating of 151Mw.</w:t>
      </w:r>
    </w:p>
    <w:p>
      <w:pPr>
        <w:pStyle w:val="BodyText"/>
        <w:rPr/>
      </w:pPr>
      <w:r>
        <w:rPr/>
      </w:r>
    </w:p>
    <w:p>
      <w:pPr>
        <w:pStyle w:val="BodyText"/>
        <w:rPr/>
      </w:pPr>
      <w:r>
        <w:rPr/>
        <w:t xml:space="preserve">Copper is a gas-fired peaker. </w:t>
      </w:r>
    </w:p>
    <w:p>
      <w:pPr>
        <w:pStyle w:val="BodyText"/>
        <w:rPr/>
      </w:pPr>
      <w:r>
        <w:rPr/>
      </w:r>
    </w:p>
    <w:p>
      <w:pPr>
        <w:pStyle w:val="BodyText"/>
        <w:rPr/>
      </w:pPr>
      <w:r>
        <w:rPr/>
        <w:t>Copper has a nameplate rating of 70Mw.</w:t>
      </w:r>
    </w:p>
    <w:p>
      <w:pPr>
        <w:pStyle w:val="BodyText"/>
        <w:rPr/>
      </w:pPr>
      <w:r>
        <w:rPr/>
      </w:r>
    </w:p>
    <w:p>
      <w:pPr>
        <w:pStyle w:val="BodyText"/>
        <w:rPr/>
      </w:pPr>
      <w:r>
        <w:rPr/>
        <w:t xml:space="preserve">Remote Generation Units: </w:t>
      </w:r>
    </w:p>
    <w:p>
      <w:pPr>
        <w:pStyle w:val="BodyText"/>
        <w:rPr/>
      </w:pPr>
      <w:r>
        <w:rPr/>
      </w:r>
    </w:p>
    <w:p>
      <w:pPr>
        <w:pStyle w:val="BodyText"/>
        <w:rPr/>
      </w:pPr>
      <w:r>
        <w:rPr/>
        <w:t>Four Corners units 4 &amp; 5 are Coal burning units.</w:t>
      </w:r>
    </w:p>
    <w:p>
      <w:pPr>
        <w:pStyle w:val="BodyText"/>
        <w:rPr/>
      </w:pPr>
      <w:r>
        <w:rPr/>
      </w:r>
    </w:p>
    <w:p>
      <w:pPr>
        <w:pStyle w:val="BodyText"/>
        <w:rPr/>
      </w:pPr>
      <w:r>
        <w:rPr/>
        <w:t>Four Corners unit 4 &amp; 5 allotment for El Paso is 52 Mw each unit.</w:t>
      </w:r>
    </w:p>
    <w:p>
      <w:pPr>
        <w:pStyle w:val="BodyText"/>
        <w:rPr/>
      </w:pPr>
      <w:r>
        <w:rPr/>
      </w:r>
    </w:p>
    <w:p>
      <w:pPr>
        <w:pStyle w:val="BodyText"/>
        <w:rPr/>
      </w:pPr>
      <w:r>
        <w:rPr/>
        <w:t>Palo Verde Units 1, 2 &amp; 3 are nuclear units.</w:t>
      </w:r>
    </w:p>
    <w:p>
      <w:pPr>
        <w:pStyle w:val="BodyText"/>
        <w:rPr/>
      </w:pPr>
      <w:r>
        <w:rPr/>
      </w:r>
    </w:p>
    <w:p>
      <w:pPr>
        <w:pStyle w:val="BodyText"/>
        <w:rPr/>
      </w:pPr>
      <w:r>
        <w:rPr/>
        <w:t xml:space="preserve">Palo Verde units 1, 2 &amp; 3 allotment for El Paso is 200 Mw for each unit. </w:t>
      </w:r>
    </w:p>
    <w:p>
      <w:pPr>
        <w:pStyle w:val="BodyText"/>
        <w:rPr/>
      </w:pPr>
      <w:r>
        <w:rPr/>
      </w:r>
    </w:p>
    <w:p>
      <w:pPr>
        <w:pStyle w:val="BodyText"/>
        <w:rPr/>
      </w:pPr>
      <w:r>
        <w:rPr/>
      </w:r>
    </w:p>
    <w:p>
      <w:pPr>
        <w:pStyle w:val="BodyText"/>
        <w:rPr>
          <w:b/>
        </w:rPr>
      </w:pPr>
      <w:r>
        <w:rPr>
          <w:b/>
        </w:rPr>
        <w:t>Spinning reserves and Ramp rates:</w:t>
      </w:r>
    </w:p>
    <w:p>
      <w:pPr>
        <w:pStyle w:val="BodyText"/>
        <w:rPr>
          <w:b/>
        </w:rPr>
      </w:pPr>
      <w:r>
        <w:rPr>
          <w:b/>
        </w:rPr>
      </w:r>
    </w:p>
    <w:p>
      <w:pPr>
        <w:pStyle w:val="BodyText"/>
        <w:rPr/>
      </w:pPr>
      <w:r>
        <w:rPr/>
        <w:t xml:space="preserve">Each of the generation units has a ramp rate (the amount up or down that the dispatchers can change the units output per minute) these are listed below. </w:t>
      </w:r>
    </w:p>
    <w:p>
      <w:pPr>
        <w:pStyle w:val="BodyText"/>
        <w:rPr/>
      </w:pPr>
      <w:r>
        <w:rPr/>
      </w:r>
    </w:p>
    <w:p>
      <w:pPr>
        <w:pStyle w:val="BodyText"/>
        <w:rPr/>
      </w:pPr>
      <w:r>
        <w:rPr/>
        <w:t xml:space="preserve">As a general rule the dispatchers can only ramp up or down El Paso’s local generation. It is possible to the curtail Four Corners but this is usually only done during light load hours. This complete table can be found in Rogers’s calculator at </w:t>
      </w:r>
      <w:r>
        <w:rPr>
          <w:color w:val="0000FF"/>
        </w:rPr>
        <w:t xml:space="preserve">M:Electric/epe/epe2000/Roger_Calculator2/calculator </w:t>
      </w:r>
      <w:r>
        <w:rPr>
          <w:color w:val="000000"/>
        </w:rPr>
        <w:t xml:space="preserve">hourly </w:t>
      </w:r>
      <w:r>
        <w:rPr/>
        <w:t xml:space="preserve">tab. See </w:t>
      </w:r>
      <w:r>
        <w:rPr>
          <w:b/>
        </w:rPr>
        <w:t>spin calculator</w:t>
      </w:r>
      <w:r>
        <w:rPr/>
        <w:t xml:space="preserve"> below. </w:t>
      </w:r>
    </w:p>
    <w:p>
      <w:pPr>
        <w:pStyle w:val="BodyText"/>
        <w:rPr/>
      </w:pPr>
      <w:r>
        <w:rPr/>
      </w:r>
    </w:p>
    <w:p>
      <w:pPr>
        <w:pStyle w:val="BodyText"/>
        <w:rPr/>
      </w:pPr>
      <w:r>
        <w:rPr/>
        <w:t xml:space="preserve">Spinning reserves are required to meet SRSG requirements in the event of a generation/transmission loss by either El Paso or a member of the Southwest Reserve Sharing Group. Generally spinning reserves are calculated at 7% of load. </w:t>
      </w:r>
    </w:p>
    <w:p>
      <w:pPr>
        <w:pStyle w:val="BodyText"/>
        <w:rPr/>
      </w:pPr>
      <w:r>
        <w:rPr/>
      </w:r>
    </w:p>
    <w:p>
      <w:pPr>
        <w:pStyle w:val="BodyText"/>
        <w:rPr/>
      </w:pPr>
      <w:r>
        <w:rPr/>
        <w:t>Spinning reserves are defined as unloaded generation that can be ramped in within ten minutes to serve load. The generators ramp rate X 10 will give the amount of spin available. Hence, the faster the ramp rate of a unit the greater component of spin it can provide.</w:t>
      </w:r>
    </w:p>
    <w:p>
      <w:pPr>
        <w:pStyle w:val="BodyText"/>
        <w:rPr/>
      </w:pPr>
      <w:r>
        <w:rPr/>
      </w:r>
    </w:p>
    <w:p>
      <w:pPr>
        <w:pStyle w:val="BodyText"/>
        <w:rPr/>
      </w:pPr>
      <w:r>
        <w:rPr/>
        <w:t xml:space="preserve">Enron receives an estimate from El Paso Electric via e-mail with the predicted Spin and Non-Spin components to meet reserve requirements. However, it is the real time marketing group’s responsibility to maintain reserves. See </w:t>
      </w:r>
      <w:r>
        <w:rPr>
          <w:b/>
        </w:rPr>
        <w:t>reserve requirements</w:t>
      </w:r>
      <w:r>
        <w:rPr/>
        <w:t xml:space="preserve"> below.</w:t>
      </w:r>
    </w:p>
    <w:p>
      <w:pPr>
        <w:pStyle w:val="BodyText"/>
        <w:rPr/>
      </w:pPr>
      <w:r>
        <w:rPr/>
      </w:r>
    </w:p>
    <w:p>
      <w:pPr>
        <w:pStyle w:val="BodyText"/>
        <w:rPr/>
      </w:pPr>
      <w:r>
        <w:rPr/>
        <w:t xml:space="preserve">To meet spin requirements for El Paso /Enron marketers have the following options: </w:t>
      </w:r>
    </w:p>
    <w:p>
      <w:pPr>
        <w:pStyle w:val="BodyText"/>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BodyText"/>
        <w:numPr>
          <w:ilvl w:val="0"/>
          <w:numId w:val="2"/>
        </w:numPr>
        <w:rPr/>
      </w:pPr>
      <w:r>
        <w:rPr/>
        <w:t xml:space="preserve">Buy capacity.  This is essentially an hourly call option with the capacity priced usually in the single figures. This will show in the spin numbers in the Scrape and can bolster reserves. However, remember that although the spin portion of reserves maybe in limits CAPACITY purchases </w:t>
      </w:r>
      <w:r>
        <w:rPr>
          <w:b/>
        </w:rPr>
        <w:t>DO NOT</w:t>
      </w:r>
      <w:r>
        <w:rPr/>
        <w:t xml:space="preserve"> provide energy to meet load. So while there maybe ample spin to cover limits the El Paso system maybe be pulling energy from the grid to meet load. If the energy is needed remember there is a ten-minute ramp and integrated volumes will usually need to be calculated (see below). Also, expect to pay $45.00 up for the energy.</w:t>
      </w:r>
    </w:p>
    <w:p>
      <w:pPr>
        <w:pStyle w:val="BodyText"/>
        <w:numPr>
          <w:ilvl w:val="0"/>
          <w:numId w:val="2"/>
        </w:numPr>
        <w:rPr/>
      </w:pPr>
      <w:r>
        <w:rPr/>
        <w:t xml:space="preserve">Buy firm energy. This is more expensive and will depend on market conditions. However, this option accomplishes both covering loads with  energy and increasing spin reserves. </w:t>
      </w:r>
    </w:p>
    <w:p>
      <w:pPr>
        <w:pStyle w:val="BodyText"/>
        <w:numPr>
          <w:ilvl w:val="0"/>
          <w:numId w:val="2"/>
        </w:numPr>
        <w:rPr/>
      </w:pPr>
      <w:r>
        <w:rPr/>
        <w:t>Sell economy energy. This will allow the economy sales to be counted as Contingent reserves that can be recalled if needed (this includes Id’s 50Mw of recallable energy from their total of 150Mw take. See contract section for details). Without economy sales the entire Contingent reserves must be carried as spin.</w:t>
      </w:r>
    </w:p>
    <w:p>
      <w:pPr>
        <w:pStyle w:val="BodyText"/>
        <w:numPr>
          <w:ilvl w:val="0"/>
          <w:numId w:val="2"/>
        </w:numPr>
        <w:rPr/>
      </w:pPr>
      <w:r>
        <w:rPr/>
        <w:t>Request unloaded generation be raised to increase spin. The Rio Grande units have the slowest ramp rates. If these units are loaded at less than their maximum outputs request the dispatchers to put these units in manual and raise them to maximum to receive the maximum spin output from them. This is the dispatchers option to refuse this request and leave the units in AGC (Automatic Generation Control). However, this will allow the faster ramp rate Newman units to provide the spin reserves while getting the maximum spin contribution from the Rio Grande units.</w:t>
      </w:r>
    </w:p>
    <w:p>
      <w:pPr>
        <w:pStyle w:val="BodyText"/>
        <w:rPr/>
      </w:pPr>
      <w:r>
        <w:rPr/>
        <w:t xml:space="preserve">Start the Copper peaker unit. This unit provides 69Mw of energy and capacity within ten minutes. The dispatchers start this unit and to start the unit it costs </w:t>
      </w:r>
      <w:r>
        <w:rPr>
          <w:b/>
        </w:rPr>
        <w:t>$2500.00</w:t>
      </w:r>
      <w:r>
        <w:rPr/>
        <w:t xml:space="preserve">. Once started Copper costs between </w:t>
      </w:r>
      <w:r>
        <w:rPr>
          <w:b/>
        </w:rPr>
        <w:t>$50 - $65 Mwh</w:t>
      </w:r>
      <w:r>
        <w:rPr/>
        <w:t xml:space="preserve"> depending on gas prices. This model can be found at M:Electric/epe/epe2000/Rogers_Calculator2/calculations tab.</w:t>
      </w:r>
    </w:p>
    <w:p>
      <w:pPr>
        <w:pStyle w:val="BodyText"/>
        <w:numPr>
          <w:ilvl w:val="0"/>
          <w:numId w:val="2"/>
        </w:numPr>
        <w:rPr>
          <w:b/>
        </w:rPr>
      </w:pPr>
      <w:r>
        <w:rPr/>
        <w:t>Spin calculator</w:t>
      </w:r>
    </w:p>
    <w:tbl>
      <w:tblPr>
        <w:tblW w:w="6427" w:type="dxa"/>
        <w:jc w:val="start"/>
        <w:tblInd w:w="0" w:type="dxa"/>
        <w:tblLayout w:type="fixed"/>
        <w:tblCellMar>
          <w:top w:w="0" w:type="dxa"/>
          <w:start w:w="30" w:type="dxa"/>
          <w:bottom w:w="0" w:type="dxa"/>
          <w:end w:w="30" w:type="dxa"/>
        </w:tblCellMar>
      </w:tblPr>
      <w:tblGrid>
        <w:gridCol w:w="900"/>
        <w:gridCol w:w="914"/>
        <w:gridCol w:w="742"/>
        <w:gridCol w:w="809"/>
        <w:gridCol w:w="674"/>
        <w:gridCol w:w="850"/>
        <w:gridCol w:w="689"/>
        <w:gridCol w:w="849"/>
      </w:tblGrid>
      <w:tr>
        <w:trPr>
          <w:trHeight w:val="259" w:hRule="atLeast"/>
        </w:trPr>
        <w:tc>
          <w:tcPr>
            <w:tcW w:w="900" w:type="dxa"/>
            <w:tcBorders/>
          </w:tcPr>
          <w:p>
            <w:pPr>
              <w:pStyle w:val="Normal"/>
              <w:snapToGrid w:val="false"/>
              <w:jc w:val="end"/>
              <w:rPr>
                <w:rFonts w:ascii="Arial" w:hAnsi="Arial" w:cs="Arial"/>
                <w:color w:val="000000"/>
                <w:lang w:val="en-CA" w:eastAsia="en-US"/>
              </w:rPr>
            </w:pPr>
            <w:r>
              <w:rPr>
                <w:rFonts w:cs="Arial" w:ascii="Arial" w:hAnsi="Arial"/>
                <w:color w:val="000000"/>
                <w:lang w:val="en-CA" w:eastAsia="en-US"/>
              </w:rPr>
              <mc:AlternateContent>
                <mc:Choice Requires="wps">
                  <w:drawing>
                    <wp:anchor behindDoc="0" distT="0" distB="0" distL="114935" distR="114935" simplePos="0" locked="0" layoutInCell="0" allowOverlap="1" relativeHeight="3">
                      <wp:simplePos x="0" y="0"/>
                      <wp:positionH relativeFrom="margin">
                        <wp:posOffset>3520440</wp:posOffset>
                      </wp:positionH>
                      <wp:positionV relativeFrom="paragraph">
                        <wp:posOffset>257175</wp:posOffset>
                      </wp:positionV>
                      <wp:extent cx="640080" cy="548640"/>
                      <wp:effectExtent l="0" t="3810" r="3175" b="0"/>
                      <wp:wrapNone/>
                      <wp:docPr id="1" name=""/>
                      <a:graphic xmlns:a="http://schemas.openxmlformats.org/drawingml/2006/main">
                        <a:graphicData uri="http://schemas.microsoft.com/office/word/2010/wordprocessingShape">
                          <wps:wsp>
                            <wps:cNvSpPr/>
                            <wps:spPr>
                              <a:xfrm flipH="1">
                                <a:off x="0" y="0"/>
                                <a:ext cx="64008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7.2pt,20.25pt" to="327.55pt,63.4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2">
                      <wp:simplePos x="0" y="0"/>
                      <wp:positionH relativeFrom="margin">
                        <wp:posOffset>4150995</wp:posOffset>
                      </wp:positionH>
                      <wp:positionV relativeFrom="paragraph">
                        <wp:posOffset>247650</wp:posOffset>
                      </wp:positionV>
                      <wp:extent cx="1664970" cy="659130"/>
                      <wp:effectExtent l="0" t="0" r="0" b="0"/>
                      <wp:wrapNone/>
                      <wp:docPr id="2" name="Frame1"/>
                      <a:graphic xmlns:a="http://schemas.openxmlformats.org/drawingml/2006/main">
                        <a:graphicData uri="http://schemas.microsoft.com/office/word/2010/wordprocessingShape">
                          <wps:wsp>
                            <wps:cNvSpPr txBox="1"/>
                            <wps:spPr>
                              <a:xfrm>
                                <a:off x="0" y="0"/>
                                <a:ext cx="1664970" cy="659130"/>
                              </a:xfrm>
                              <a:prstGeom prst="rect"/>
                              <a:solidFill>
                                <a:srgbClr val="FFFFFF"/>
                              </a:solidFill>
                              <a:ln w="9525">
                                <a:solidFill>
                                  <a:srgbClr val="000000"/>
                                </a:solidFill>
                              </a:ln>
                            </wps:spPr>
                            <wps:txbx>
                              <w:txbxContent>
                                <w:p>
                                  <w:pPr>
                                    <w:pStyle w:val="Normal"/>
                                    <w:rPr/>
                                  </w:pPr>
                                  <w:r>
                                    <w:rPr/>
                                    <w:t>These are the ramp rates per minute of the El Paso local generation units.</w:t>
                                  </w:r>
                                </w:p>
                              </w:txbxContent>
                            </wps:txbx>
                            <wps:bodyPr anchor="t" lIns="91440" tIns="45720" rIns="91440" bIns="45720">
                              <a:noAutofit/>
                            </wps:bodyPr>
                          </wps:wsp>
                        </a:graphicData>
                      </a:graphic>
                    </wp:anchor>
                  </w:drawing>
                </mc:Choice>
                <mc:Fallback>
                  <w:pict>
                    <v:rect fillcolor="#FFFFFF" strokecolor="#000000" strokeweight="0pt" style="position:absolute;rotation:-0;width:131.1pt;height:51.9pt;mso-wrap-distance-left:9.05pt;mso-wrap-distance-right:9.05pt;mso-wrap-distance-top:0pt;mso-wrap-distance-bottom:0pt;margin-top:19.5pt;mso-position-vertical-relative:text;margin-left:326.85pt;mso-position-horizontal-relative:margin">
                      <v:textbox>
                        <w:txbxContent>
                          <w:p>
                            <w:pPr>
                              <w:pStyle w:val="Normal"/>
                              <w:rPr/>
                            </w:pPr>
                            <w:r>
                              <w:rPr/>
                              <w:t>These are the ramp rates per minute of the El Paso local generation units.</w:t>
                            </w:r>
                          </w:p>
                        </w:txbxContent>
                      </v:textbox>
                      <w10:wrap type="none"/>
                    </v:rect>
                  </w:pict>
                </mc:Fallback>
              </mc:AlternateContent>
            </w:r>
          </w:p>
        </w:tc>
        <w:tc>
          <w:tcPr>
            <w:tcW w:w="1656" w:type="dxa"/>
            <w:gridSpan w:val="2"/>
            <w:tcBorders/>
          </w:tcPr>
          <w:p>
            <w:pPr>
              <w:pStyle w:val="Normal"/>
              <w:jc w:val="center"/>
              <w:rPr>
                <w:rFonts w:ascii="Arial" w:hAnsi="Arial" w:cs="Arial"/>
                <w:b/>
                <w:color w:val="0000FF"/>
                <w:lang w:eastAsia="en-US"/>
              </w:rPr>
            </w:pPr>
            <w:r>
              <w:rPr>
                <w:rFonts w:cs="Arial" w:ascii="Arial" w:hAnsi="Arial"/>
                <w:b/>
                <w:color w:val="0000FF"/>
                <w:lang w:eastAsia="en-US"/>
              </w:rPr>
              <w:t>Enter Blue Numbers</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8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5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89"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4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50"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8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42"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33" w:type="dxa"/>
            <w:gridSpan w:val="3"/>
            <w:tcBorders/>
          </w:tcPr>
          <w:p>
            <w:pPr>
              <w:pStyle w:val="Normal"/>
              <w:jc w:val="center"/>
              <w:rPr>
                <w:rFonts w:ascii="Arial" w:hAnsi="Arial" w:cs="Arial"/>
                <w:color w:val="000000"/>
                <w:lang w:eastAsia="en-US"/>
              </w:rPr>
            </w:pPr>
            <w:r>
              <w:rPr>
                <w:rFonts w:cs="Arial" w:ascii="Arial" w:hAnsi="Arial"/>
                <w:color w:val="000000"/>
                <w:lang w:eastAsia="en-US"/>
              </w:rPr>
              <w:t>Spin from Ramp rates</w:t>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8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83" w:hRule="atLeast"/>
        </w:trPr>
        <w:tc>
          <w:tcPr>
            <w:tcW w:w="90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1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09" w:type="dxa"/>
            <w:tcBorders>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74" w:type="dxa"/>
            <w:tcBorders>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50" w:type="dxa"/>
            <w:tcBorders>
              <w:bottom w:val="single" w:sz="18" w:space="0" w:color="FF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689"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71" w:hRule="atLeast"/>
        </w:trPr>
        <w:tc>
          <w:tcPr>
            <w:tcW w:w="90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14" w:type="dxa"/>
            <w:tcBorders>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42" w:type="dxa"/>
            <w:tcBorders>
              <w:top w:val="single" w:sz="6" w:space="0" w:color="000000"/>
              <w:start w:val="single" w:sz="6" w:space="0" w:color="000000"/>
              <w:bottom w:val="single" w:sz="6" w:space="0" w:color="000000"/>
            </w:tcBorders>
            <w:shd w:fill="FFFFFF" w:val="clear"/>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09" w:type="dxa"/>
            <w:tcBorders>
              <w:top w:val="single" w:sz="6" w:space="0" w:color="000000"/>
              <w:bottom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Output</w:t>
            </w:r>
          </w:p>
        </w:tc>
        <w:tc>
          <w:tcPr>
            <w:tcW w:w="674" w:type="dxa"/>
            <w:tcBorders>
              <w:top w:val="single" w:sz="6" w:space="0" w:color="000000"/>
              <w:bottom w:val="single" w:sz="6" w:space="0" w:color="00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Highs'</w:t>
            </w:r>
          </w:p>
        </w:tc>
        <w:tc>
          <w:tcPr>
            <w:tcW w:w="850" w:type="dxa"/>
            <w:tcBorders>
              <w:top w:val="single" w:sz="18" w:space="0" w:color="FF0000"/>
              <w:start w:val="single" w:sz="18" w:space="0" w:color="FF0000"/>
              <w:bottom w:val="single" w:sz="6" w:space="0" w:color="000000"/>
              <w:end w:val="single" w:sz="18" w:space="0" w:color="FF0000"/>
            </w:tcBorders>
          </w:tcPr>
          <w:p>
            <w:pPr>
              <w:pStyle w:val="Normal"/>
              <w:jc w:val="center"/>
              <w:rPr>
                <w:rFonts w:ascii="Arial" w:hAnsi="Arial" w:cs="Arial"/>
                <w:color w:val="000000"/>
                <w:lang w:eastAsia="en-US"/>
              </w:rPr>
            </w:pPr>
            <w:r>
              <w:rPr>
                <w:rFonts w:cs="Arial" w:ascii="Arial" w:hAnsi="Arial"/>
                <w:color w:val="000000"/>
                <w:lang w:eastAsia="en-US"/>
              </w:rPr>
              <w:t>Spin</w:t>
            </w:r>
          </w:p>
        </w:tc>
        <w:tc>
          <w:tcPr>
            <w:tcW w:w="689" w:type="dxa"/>
            <w:tcBorders>
              <w:top w:val="single" w:sz="6" w:space="0" w:color="000000"/>
              <w:start w:val="single" w:sz="18" w:space="0" w:color="FF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RR</w:t>
            </w:r>
          </w:p>
        </w:tc>
        <w:tc>
          <w:tcPr>
            <w:tcW w:w="849" w:type="dxa"/>
            <w:tcBorders>
              <w:start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59" w:hRule="atLeast"/>
        </w:trPr>
        <w:tc>
          <w:tcPr>
            <w:tcW w:w="90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14"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top w:val="single" w:sz="6" w:space="0" w:color="000000"/>
              <w:start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Unit  1</w:t>
            </w:r>
          </w:p>
        </w:tc>
        <w:tc>
          <w:tcPr>
            <w:tcW w:w="809" w:type="dxa"/>
            <w:tcBorders>
              <w:top w:val="single" w:sz="6" w:space="0" w:color="000000"/>
            </w:tcBorders>
            <w:shd w:fill="FFFFFF" w:val="clear"/>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top w:val="single" w:sz="6" w:space="0" w:color="000000"/>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top w:val="single" w:sz="6" w:space="0" w:color="000000"/>
              <w:start w:val="single" w:sz="18" w:space="0" w:color="FF0000"/>
              <w:end w:val="single" w:sz="18" w:space="0" w:color="FF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top w:val="single" w:sz="6" w:space="0" w:color="000000"/>
              <w:start w:val="single" w:sz="18" w:space="0" w:color="FF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849" w:type="dxa"/>
            <w:tcBorders>
              <w:start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2</w:t>
            </w:r>
          </w:p>
        </w:tc>
        <w:tc>
          <w:tcPr>
            <w:tcW w:w="809" w:type="dxa"/>
            <w:tcBorders/>
            <w:shd w:fill="FFFFFF" w:val="clear"/>
          </w:tcPr>
          <w:p>
            <w:pPr>
              <w:pStyle w:val="Normal"/>
              <w:jc w:val="end"/>
              <w:rPr>
                <w:rFonts w:ascii="Arial" w:hAnsi="Arial" w:cs="Arial"/>
                <w:b/>
                <w:color w:val="0000FF"/>
                <w:lang w:eastAsia="en-US"/>
              </w:rPr>
            </w:pPr>
            <w:r>
              <w:rPr>
                <w:rFonts w:cs="Arial" w:ascii="Arial" w:hAnsi="Arial"/>
                <w:b/>
                <w:color w:val="0000FF"/>
                <w:lang w:eastAsia="en-US"/>
              </w:rPr>
              <w:t>38</w:t>
            </w:r>
          </w:p>
        </w:tc>
        <w:tc>
          <w:tcPr>
            <w:tcW w:w="674" w:type="dxa"/>
            <w:tcBorders>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64</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26</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4.5</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3</w:t>
            </w:r>
          </w:p>
        </w:tc>
        <w:tc>
          <w:tcPr>
            <w:tcW w:w="809" w:type="dxa"/>
            <w:tcBorders/>
            <w:shd w:fill="FFFFFF" w:val="clear"/>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5.1</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GT1</w:t>
            </w:r>
          </w:p>
        </w:tc>
        <w:tc>
          <w:tcPr>
            <w:tcW w:w="809" w:type="dxa"/>
            <w:tcBorders/>
            <w:shd w:fill="FFFFFF" w:val="clear"/>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10</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GT2</w:t>
            </w:r>
          </w:p>
        </w:tc>
        <w:tc>
          <w:tcPr>
            <w:tcW w:w="809" w:type="dxa"/>
            <w:tcBorders/>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end w:val="single" w:sz="18" w:space="0" w:color="FF0000"/>
            </w:tcBorders>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10</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1"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GT1S</w:t>
            </w:r>
          </w:p>
        </w:tc>
        <w:tc>
          <w:tcPr>
            <w:tcW w:w="809" w:type="dxa"/>
            <w:tcBorders/>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end w:val="single" w:sz="18" w:space="0" w:color="FF0000"/>
            </w:tcBorders>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3.33</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1" w:hRule="atLeast"/>
        </w:trPr>
        <w:tc>
          <w:tcPr>
            <w:tcW w:w="900" w:type="dxa"/>
            <w:tcBorders/>
            <w:shd w:fill="FFFFFF" w:val="clear"/>
          </w:tcPr>
          <w:p>
            <w:pPr>
              <w:pStyle w:val="Normal"/>
              <w:jc w:val="end"/>
              <w:rPr>
                <w:rFonts w:ascii="Arial" w:hAnsi="Arial" w:cs="Arial"/>
                <w:color w:val="000000"/>
                <w:lang w:eastAsia="en-US"/>
              </w:rPr>
            </w:pPr>
            <w:r>
              <w:rPr>
                <w:rFonts w:cs="Arial" w:ascii="Arial" w:hAnsi="Arial"/>
                <w:color w:val="000000"/>
                <w:lang w:eastAsia="en-US"/>
              </w:rPr>
              <w:t>$0.00</w:t>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GT2S</w:t>
            </w:r>
          </w:p>
        </w:tc>
        <w:tc>
          <w:tcPr>
            <w:tcW w:w="809" w:type="dxa"/>
            <w:tcBorders/>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end w:val="single" w:sz="18" w:space="0" w:color="FF0000"/>
            </w:tcBorders>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3.6</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5"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newman</w:t>
            </w:r>
          </w:p>
        </w:tc>
        <w:tc>
          <w:tcPr>
            <w:tcW w:w="742" w:type="dxa"/>
            <w:tcBorders>
              <w:start w:val="single" w:sz="6" w:space="0" w:color="000000"/>
              <w:bottom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NM4</w:t>
            </w:r>
          </w:p>
        </w:tc>
        <w:tc>
          <w:tcPr>
            <w:tcW w:w="809" w:type="dxa"/>
            <w:tcBorders>
              <w:bottom w:val="single" w:sz="6" w:space="0" w:color="000000"/>
            </w:tcBorders>
            <w:shd w:fill="FFFFFF" w:val="clear"/>
          </w:tcPr>
          <w:p>
            <w:pPr>
              <w:pStyle w:val="Normal"/>
              <w:jc w:val="end"/>
              <w:rPr>
                <w:rFonts w:ascii="Arial" w:hAnsi="Arial" w:cs="Arial"/>
                <w:b/>
                <w:color w:val="0000FF"/>
                <w:lang w:eastAsia="en-US"/>
              </w:rPr>
            </w:pPr>
            <w:r>
              <w:rPr>
                <w:rFonts w:cs="Arial" w:ascii="Arial" w:hAnsi="Arial"/>
                <w:b/>
                <w:color w:val="0000FF"/>
                <w:lang w:eastAsia="en-US"/>
              </w:rPr>
              <w:t>179</w:t>
            </w:r>
          </w:p>
        </w:tc>
        <w:tc>
          <w:tcPr>
            <w:tcW w:w="674" w:type="dxa"/>
            <w:tcBorders>
              <w:bottom w:val="single" w:sz="6" w:space="0" w:color="000000"/>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214</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35</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3.6</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top w:val="single" w:sz="6" w:space="0" w:color="000000"/>
              <w:start w:val="single" w:sz="6" w:space="0" w:color="000000"/>
              <w:bottom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Copper</w:t>
            </w:r>
          </w:p>
        </w:tc>
        <w:tc>
          <w:tcPr>
            <w:tcW w:w="809" w:type="dxa"/>
            <w:tcBorders>
              <w:top w:val="single" w:sz="6" w:space="0" w:color="000000"/>
              <w:bottom w:val="single" w:sz="6" w:space="0" w:color="000000"/>
            </w:tcBorders>
            <w:shd w:fill="FFFFFF" w:val="clear"/>
          </w:tcPr>
          <w:p>
            <w:pPr>
              <w:pStyle w:val="Normal"/>
              <w:jc w:val="end"/>
              <w:rPr>
                <w:rFonts w:ascii="Arial" w:hAnsi="Arial" w:cs="Arial"/>
                <w:b/>
                <w:color w:val="0000FF"/>
                <w:lang w:eastAsia="en-US"/>
              </w:rPr>
            </w:pPr>
            <w:r>
              <w:rPr>
                <w:rFonts w:cs="Arial" w:ascii="Arial" w:hAnsi="Arial"/>
                <w:b/>
                <w:color w:val="0000FF"/>
                <w:lang w:eastAsia="en-US"/>
              </w:rPr>
              <w:t>0</w:t>
            </w:r>
          </w:p>
        </w:tc>
        <w:tc>
          <w:tcPr>
            <w:tcW w:w="674" w:type="dxa"/>
            <w:tcBorders>
              <w:top w:val="single" w:sz="6" w:space="0" w:color="000000"/>
              <w:bottom w:val="single" w:sz="6" w:space="0" w:color="000000"/>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10</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Rio</w:t>
            </w:r>
          </w:p>
          <w:p>
            <w:pPr>
              <w:pStyle w:val="Normal"/>
              <w:jc w:val="center"/>
              <w:rPr>
                <w:rFonts w:ascii="Arial" w:hAnsi="Arial" w:cs="Arial"/>
                <w:color w:val="000000"/>
                <w:lang w:eastAsia="en-US"/>
              </w:rPr>
            </w:pPr>
            <w:r>
              <w:rPr>
                <w:rFonts w:cs="Arial" w:ascii="Arial" w:hAnsi="Arial"/>
                <w:color w:val="000000"/>
                <w:lang w:eastAsia="en-US"/>
              </w:rPr>
              <w:t>Grande</w:t>
            </w:r>
          </w:p>
        </w:tc>
        <w:tc>
          <w:tcPr>
            <w:tcW w:w="742" w:type="dxa"/>
            <w:tcBorders>
              <w:top w:val="single" w:sz="6" w:space="0" w:color="000000"/>
              <w:start w:val="single" w:sz="6" w:space="0" w:color="000000"/>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6</w:t>
            </w:r>
          </w:p>
        </w:tc>
        <w:tc>
          <w:tcPr>
            <w:tcW w:w="809" w:type="dxa"/>
            <w:tcBorders>
              <w:top w:val="single" w:sz="6" w:space="0" w:color="000000"/>
            </w:tcBorders>
            <w:shd w:fill="FFFFFF" w:val="clear"/>
          </w:tcPr>
          <w:p>
            <w:pPr>
              <w:pStyle w:val="Normal"/>
              <w:jc w:val="end"/>
              <w:rPr>
                <w:rFonts w:ascii="Arial" w:hAnsi="Arial" w:cs="Arial"/>
                <w:b/>
                <w:color w:val="0000FF"/>
                <w:lang w:eastAsia="en-US"/>
              </w:rPr>
            </w:pPr>
            <w:r>
              <w:rPr>
                <w:rFonts w:cs="Arial" w:ascii="Arial" w:hAnsi="Arial"/>
                <w:b/>
                <w:color w:val="0000FF"/>
                <w:lang w:eastAsia="en-US"/>
              </w:rPr>
              <w:t>28</w:t>
            </w:r>
          </w:p>
        </w:tc>
        <w:tc>
          <w:tcPr>
            <w:tcW w:w="674" w:type="dxa"/>
            <w:tcBorders>
              <w:top w:val="single" w:sz="6" w:space="0" w:color="000000"/>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44</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16</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2</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Rio</w:t>
            </w:r>
          </w:p>
          <w:p>
            <w:pPr>
              <w:pStyle w:val="Normal"/>
              <w:jc w:val="center"/>
              <w:rPr>
                <w:rFonts w:ascii="Arial" w:hAnsi="Arial" w:cs="Arial"/>
                <w:color w:val="000000"/>
                <w:lang w:eastAsia="en-US"/>
              </w:rPr>
            </w:pPr>
            <w:r>
              <w:rPr>
                <w:rFonts w:cs="Arial" w:ascii="Arial" w:hAnsi="Arial"/>
                <w:color w:val="000000"/>
                <w:lang w:eastAsia="en-US"/>
              </w:rPr>
              <w:t>Grande</w:t>
            </w:r>
          </w:p>
        </w:tc>
        <w:tc>
          <w:tcPr>
            <w:tcW w:w="742" w:type="dxa"/>
            <w:tcBorders>
              <w:start w:val="single" w:sz="6" w:space="0" w:color="000000"/>
            </w:tcBorders>
            <w:shd w:fill="FFFFFF" w:val="clear"/>
          </w:tcPr>
          <w:p>
            <w:pPr>
              <w:pStyle w:val="Normal"/>
              <w:jc w:val="center"/>
              <w:rPr>
                <w:rFonts w:ascii="Arial" w:hAnsi="Arial" w:cs="Arial"/>
                <w:b/>
                <w:color w:val="000000"/>
                <w:lang w:eastAsia="en-US"/>
              </w:rPr>
            </w:pPr>
            <w:r>
              <w:rPr>
                <w:rFonts w:cs="Arial" w:ascii="Arial" w:hAnsi="Arial"/>
                <w:b/>
                <w:color w:val="000000"/>
                <w:lang w:eastAsia="en-US"/>
              </w:rPr>
              <w:t>7</w:t>
            </w:r>
          </w:p>
        </w:tc>
        <w:tc>
          <w:tcPr>
            <w:tcW w:w="809" w:type="dxa"/>
            <w:tcBorders/>
            <w:shd w:fill="FFFFFF" w:val="clear"/>
          </w:tcPr>
          <w:p>
            <w:pPr>
              <w:pStyle w:val="Normal"/>
              <w:jc w:val="end"/>
              <w:rPr>
                <w:rFonts w:ascii="Arial" w:hAnsi="Arial" w:cs="Arial"/>
                <w:b/>
                <w:color w:val="0000FF"/>
                <w:lang w:eastAsia="en-US"/>
              </w:rPr>
            </w:pPr>
            <w:r>
              <w:rPr>
                <w:rFonts w:cs="Arial" w:ascii="Arial" w:hAnsi="Arial"/>
                <w:b/>
                <w:color w:val="0000FF"/>
                <w:lang w:eastAsia="en-US"/>
              </w:rPr>
              <w:t>30</w:t>
            </w:r>
          </w:p>
        </w:tc>
        <w:tc>
          <w:tcPr>
            <w:tcW w:w="674" w:type="dxa"/>
            <w:tcBorders>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40</w:t>
            </w:r>
          </w:p>
        </w:tc>
        <w:tc>
          <w:tcPr>
            <w:tcW w:w="850" w:type="dxa"/>
            <w:tcBorders>
              <w:start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10</w:t>
            </w:r>
          </w:p>
        </w:tc>
        <w:tc>
          <w:tcPr>
            <w:tcW w:w="689" w:type="dxa"/>
            <w:tcBorders>
              <w:start w:val="single" w:sz="18" w:space="0" w:color="FF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2.1</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1"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jc w:val="center"/>
              <w:rPr>
                <w:rFonts w:ascii="Arial" w:hAnsi="Arial" w:cs="Arial"/>
                <w:color w:val="000000"/>
                <w:lang w:eastAsia="en-US"/>
              </w:rPr>
            </w:pPr>
            <w:r>
              <w:rPr>
                <w:rFonts w:cs="Arial" w:ascii="Arial" w:hAnsi="Arial"/>
                <w:color w:val="000000"/>
                <w:lang w:eastAsia="en-US"/>
              </w:rPr>
              <w:t>Rio</w:t>
            </w:r>
          </w:p>
          <w:p>
            <w:pPr>
              <w:pStyle w:val="Normal"/>
              <w:jc w:val="center"/>
              <w:rPr>
                <w:rFonts w:ascii="Arial" w:hAnsi="Arial" w:cs="Arial"/>
                <w:color w:val="000000"/>
                <w:lang w:eastAsia="en-US"/>
              </w:rPr>
            </w:pPr>
            <w:r>
              <w:rPr>
                <w:rFonts w:cs="Arial" w:ascii="Arial" w:hAnsi="Arial"/>
                <w:color w:val="000000"/>
                <w:lang w:eastAsia="en-US"/>
              </w:rPr>
              <w:t>Grande</w:t>
            </w:r>
          </w:p>
        </w:tc>
        <w:tc>
          <w:tcPr>
            <w:tcW w:w="742" w:type="dxa"/>
            <w:tcBorders>
              <w:start w:val="single" w:sz="6" w:space="0" w:color="000000"/>
              <w:bottom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w:t>
            </w:r>
          </w:p>
        </w:tc>
        <w:tc>
          <w:tcPr>
            <w:tcW w:w="809" w:type="dxa"/>
            <w:tcBorders>
              <w:bottom w:val="single" w:sz="6" w:space="0" w:color="000000"/>
            </w:tcBorders>
          </w:tcPr>
          <w:p>
            <w:pPr>
              <w:pStyle w:val="Normal"/>
              <w:jc w:val="end"/>
              <w:rPr>
                <w:rFonts w:ascii="Arial" w:hAnsi="Arial" w:cs="Arial"/>
                <w:b/>
                <w:color w:val="0000FF"/>
                <w:lang w:eastAsia="en-US"/>
              </w:rPr>
            </w:pPr>
            <w:r>
              <w:rPr>
                <w:rFonts w:cs="Arial" w:ascii="Arial" w:hAnsi="Arial"/>
                <w:b/>
                <w:color w:val="0000FF"/>
                <w:lang w:eastAsia="en-US"/>
              </w:rPr>
              <w:t>94</w:t>
            </w:r>
          </w:p>
        </w:tc>
        <w:tc>
          <w:tcPr>
            <w:tcW w:w="674" w:type="dxa"/>
            <w:tcBorders>
              <w:bottom w:val="single" w:sz="6" w:space="0" w:color="000000"/>
              <w:end w:val="single" w:sz="18" w:space="0" w:color="FF0000"/>
            </w:tcBorders>
            <w:shd w:fill="FFFFFF" w:val="clear"/>
          </w:tcPr>
          <w:p>
            <w:pPr>
              <w:pStyle w:val="Normal"/>
              <w:jc w:val="end"/>
              <w:rPr>
                <w:rFonts w:ascii="Arial" w:hAnsi="Arial" w:cs="Arial"/>
                <w:color w:val="0000FF"/>
                <w:lang w:eastAsia="en-US"/>
              </w:rPr>
            </w:pPr>
            <w:r>
              <w:rPr>
                <w:rFonts w:cs="Arial" w:ascii="Arial" w:hAnsi="Arial"/>
                <w:color w:val="0000FF"/>
                <w:lang w:eastAsia="en-US"/>
              </w:rPr>
              <w:t>125</w:t>
            </w:r>
          </w:p>
        </w:tc>
        <w:tc>
          <w:tcPr>
            <w:tcW w:w="850" w:type="dxa"/>
            <w:tcBorders>
              <w:start w:val="single" w:sz="18" w:space="0" w:color="FF0000"/>
              <w:bottom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21</w:t>
            </w:r>
          </w:p>
        </w:tc>
        <w:tc>
          <w:tcPr>
            <w:tcW w:w="689" w:type="dxa"/>
            <w:tcBorders>
              <w:start w:val="single" w:sz="18" w:space="0" w:color="FF0000"/>
              <w:bottom w:val="single" w:sz="6" w:space="0" w:color="000000"/>
              <w:end w:val="single" w:sz="6" w:space="0" w:color="000000"/>
            </w:tcBorders>
            <w:shd w:fill="FFFFFF" w:val="clear"/>
          </w:tcPr>
          <w:p>
            <w:pPr>
              <w:pStyle w:val="Normal"/>
              <w:jc w:val="end"/>
              <w:rPr>
                <w:rFonts w:ascii="Arial" w:hAnsi="Arial" w:cs="Arial"/>
                <w:color w:val="000000"/>
                <w:lang w:eastAsia="en-US"/>
              </w:rPr>
            </w:pPr>
            <w:r>
              <w:rPr>
                <w:rFonts w:cs="Arial" w:ascii="Arial" w:hAnsi="Arial"/>
                <w:color w:val="000000"/>
                <w:lang w:eastAsia="en-US"/>
              </w:rPr>
              <w:t>2.1</w:t>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83"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top w:val="single" w:sz="6" w:space="0" w:color="000000"/>
              <w:start w:val="single" w:sz="6" w:space="0" w:color="000000"/>
              <w:bottom w:val="double" w:sz="6" w:space="0" w:color="000000"/>
            </w:tcBorders>
          </w:tcPr>
          <w:p>
            <w:pPr>
              <w:pStyle w:val="Normal"/>
              <w:jc w:val="end"/>
              <w:rPr>
                <w:rFonts w:ascii="Arial" w:hAnsi="Arial" w:cs="Arial"/>
                <w:color w:val="000000"/>
                <w:lang w:eastAsia="en-US"/>
              </w:rPr>
            </w:pPr>
            <w:r>
              <w:rPr>
                <w:rFonts w:cs="Arial" w:ascii="Arial" w:hAnsi="Arial"/>
                <w:color w:val="000000"/>
                <w:lang w:eastAsia="en-US"/>
              </w:rPr>
              <w:t>Total</w:t>
            </w:r>
          </w:p>
        </w:tc>
        <w:tc>
          <w:tcPr>
            <w:tcW w:w="809" w:type="dxa"/>
            <w:tcBorders>
              <w:top w:val="single" w:sz="6" w:space="0" w:color="000000"/>
              <w:bottom w:val="double" w:sz="6" w:space="0" w:color="000000"/>
            </w:tcBorders>
          </w:tcPr>
          <w:p>
            <w:pPr>
              <w:pStyle w:val="Normal"/>
              <w:jc w:val="end"/>
              <w:rPr>
                <w:rFonts w:ascii="Arial" w:hAnsi="Arial" w:cs="Arial"/>
                <w:b/>
                <w:color w:val="FF0000"/>
                <w:lang w:eastAsia="en-US"/>
              </w:rPr>
            </w:pPr>
            <w:r>
              <w:rPr>
                <w:rFonts w:cs="Arial" w:ascii="Arial" w:hAnsi="Arial"/>
                <w:b/>
                <w:color w:val="FF0000"/>
                <w:lang w:eastAsia="en-US"/>
              </w:rPr>
              <w:t>369</w:t>
            </w:r>
          </w:p>
        </w:tc>
        <w:tc>
          <w:tcPr>
            <w:tcW w:w="674" w:type="dxa"/>
            <w:tcBorders>
              <w:top w:val="single" w:sz="6" w:space="0" w:color="000000"/>
              <w:bottom w:val="double" w:sz="6" w:space="0" w:color="000000"/>
              <w:end w:val="single" w:sz="18" w:space="0" w:color="FF0000"/>
            </w:tcBorders>
            <w:shd w:fill="FFFFFF" w:val="clear"/>
          </w:tcPr>
          <w:p>
            <w:pPr>
              <w:pStyle w:val="Normal"/>
              <w:jc w:val="end"/>
              <w:rPr>
                <w:rFonts w:ascii="Arial" w:hAnsi="Arial" w:cs="Arial"/>
                <w:b/>
                <w:color w:val="FF0000"/>
                <w:lang w:eastAsia="en-US"/>
              </w:rPr>
            </w:pPr>
            <w:r>
              <w:rPr>
                <w:rFonts w:cs="Arial" w:ascii="Arial" w:hAnsi="Arial"/>
                <w:b/>
                <w:color w:val="FF0000"/>
                <w:lang w:eastAsia="en-US"/>
              </w:rPr>
              <w:t>487</w:t>
            </w:r>
          </w:p>
        </w:tc>
        <w:tc>
          <w:tcPr>
            <w:tcW w:w="850" w:type="dxa"/>
            <w:tcBorders>
              <w:top w:val="single" w:sz="18" w:space="0" w:color="FF0000"/>
              <w:start w:val="single" w:sz="18" w:space="0" w:color="FF0000"/>
              <w:bottom w:val="single" w:sz="18" w:space="0" w:color="FF0000"/>
              <w:end w:val="single" w:sz="18" w:space="0" w:color="FF0000"/>
            </w:tcBorders>
            <w:shd w:fill="FFFFFF" w:val="clear"/>
          </w:tcPr>
          <w:p>
            <w:pPr>
              <w:pStyle w:val="Normal"/>
              <w:jc w:val="center"/>
              <w:rPr>
                <w:rFonts w:ascii="Arial" w:hAnsi="Arial" w:cs="Arial"/>
                <w:color w:val="000000"/>
                <w:lang w:eastAsia="en-US"/>
              </w:rPr>
            </w:pPr>
            <w:r>
              <w:rPr>
                <w:rFonts w:cs="Arial" w:ascii="Arial" w:hAnsi="Arial"/>
                <w:color w:val="000000"/>
                <w:lang w:eastAsia="en-US"/>
              </w:rPr>
              <w:t>108</w:t>
            </w:r>
          </w:p>
        </w:tc>
        <w:tc>
          <w:tcPr>
            <w:tcW w:w="689" w:type="dxa"/>
            <w:tcBorders>
              <w:top w:val="single" w:sz="6" w:space="0" w:color="000000"/>
              <w:start w:val="single" w:sz="18" w:space="0" w:color="FF0000"/>
              <w:bottom w:val="double" w:sz="6" w:space="0" w:color="000000"/>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1" w:hRule="atLeast"/>
        </w:trPr>
        <w:tc>
          <w:tcPr>
            <w:tcW w:w="900" w:type="dxa"/>
            <w:tcBorders/>
            <w:shd w:fill="FFFFFF" w:val="clear"/>
          </w:tcPr>
          <w:p>
            <w:pPr>
              <w:pStyle w:val="Normal"/>
              <w:jc w:val="end"/>
              <w:rPr>
                <w:rFonts w:ascii="Arial" w:hAnsi="Arial" w:cs="Arial"/>
                <w:color w:val="000000"/>
                <w:lang w:eastAsia="en-US"/>
              </w:rPr>
            </w:pPr>
            <w:r>
              <w:rPr>
                <w:rFonts w:cs="Arial" w:ascii="Arial" w:hAnsi="Arial"/>
                <w:color w:val="000000"/>
                <w:lang w:eastAsia="en-US"/>
              </w:rPr>
              <w:t>$0.00</w:t>
            </w:r>
          </w:p>
        </w:tc>
        <w:tc>
          <w:tcPr>
            <w:tcW w:w="914" w:type="dxa"/>
            <w:tcBorders>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top w:val="double" w:sz="6" w:space="0" w:color="000000"/>
              <w:start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FC</w:t>
            </w:r>
          </w:p>
        </w:tc>
        <w:tc>
          <w:tcPr>
            <w:tcW w:w="809" w:type="dxa"/>
            <w:tcBorders>
              <w:top w:val="double" w:sz="6" w:space="0" w:color="000000"/>
            </w:tcBorders>
          </w:tcPr>
          <w:p>
            <w:pPr>
              <w:pStyle w:val="Normal"/>
              <w:jc w:val="end"/>
              <w:rPr>
                <w:rFonts w:ascii="Arial" w:hAnsi="Arial" w:cs="Arial"/>
                <w:color w:val="0000FF"/>
                <w:lang w:eastAsia="en-US"/>
              </w:rPr>
            </w:pPr>
            <w:r>
              <w:rPr>
                <w:rFonts w:cs="Arial" w:ascii="Arial" w:hAnsi="Arial"/>
                <w:color w:val="0000FF"/>
                <w:lang w:eastAsia="en-US"/>
              </w:rPr>
              <w:t>52</w:t>
            </w:r>
          </w:p>
        </w:tc>
        <w:tc>
          <w:tcPr>
            <w:tcW w:w="674" w:type="dxa"/>
            <w:tcBorders>
              <w:top w:val="double" w:sz="6" w:space="0" w:color="000000"/>
              <w:end w:val="single" w:sz="6" w:space="0" w:color="000000"/>
            </w:tcBorders>
          </w:tcPr>
          <w:p>
            <w:pPr>
              <w:pStyle w:val="Normal"/>
              <w:jc w:val="center"/>
              <w:rPr>
                <w:rFonts w:ascii="Arial" w:hAnsi="Arial" w:cs="Arial"/>
                <w:color w:val="0000FF"/>
                <w:lang w:eastAsia="en-US"/>
              </w:rPr>
            </w:pPr>
            <w:r>
              <w:rPr>
                <w:rFonts w:cs="Arial" w:ascii="Arial" w:hAnsi="Arial"/>
                <w:color w:val="0000FF"/>
                <w:lang w:eastAsia="en-US"/>
              </w:rPr>
              <w:t>104</w:t>
            </w:r>
          </w:p>
        </w:tc>
        <w:tc>
          <w:tcPr>
            <w:tcW w:w="850" w:type="dxa"/>
            <w:tcBorders>
              <w:top w:val="single" w:sz="18" w:space="0" w:color="FF0000"/>
              <w:start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89" w:type="dxa"/>
            <w:tcBorders>
              <w:top w:val="doub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59"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start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PV</w:t>
            </w:r>
          </w:p>
        </w:tc>
        <w:tc>
          <w:tcPr>
            <w:tcW w:w="809" w:type="dxa"/>
            <w:tcBorders>
              <w:bottom w:val="single" w:sz="6" w:space="0" w:color="000000"/>
            </w:tcBorders>
          </w:tcPr>
          <w:p>
            <w:pPr>
              <w:pStyle w:val="Normal"/>
              <w:jc w:val="end"/>
              <w:rPr>
                <w:rFonts w:ascii="Arial" w:hAnsi="Arial" w:cs="Arial"/>
                <w:color w:val="0000FF"/>
                <w:lang w:eastAsia="en-US"/>
              </w:rPr>
            </w:pPr>
            <w:r>
              <w:rPr>
                <w:rFonts w:cs="Arial" w:ascii="Arial" w:hAnsi="Arial"/>
                <w:color w:val="0000FF"/>
                <w:lang w:eastAsia="en-US"/>
              </w:rPr>
              <w:t>598</w:t>
            </w:r>
          </w:p>
        </w:tc>
        <w:tc>
          <w:tcPr>
            <w:tcW w:w="674" w:type="dxa"/>
            <w:tcBorders>
              <w:bottom w:val="single" w:sz="6" w:space="0" w:color="000000"/>
              <w:end w:val="single" w:sz="6" w:space="0" w:color="000000"/>
            </w:tcBorders>
          </w:tcPr>
          <w:p>
            <w:pPr>
              <w:pStyle w:val="Normal"/>
              <w:jc w:val="center"/>
              <w:rPr>
                <w:rFonts w:ascii="Arial" w:hAnsi="Arial" w:cs="Arial"/>
                <w:color w:val="0000FF"/>
                <w:lang w:eastAsia="en-US"/>
              </w:rPr>
            </w:pPr>
            <w:r>
              <w:rPr>
                <w:rFonts w:cs="Arial" w:ascii="Arial" w:hAnsi="Arial"/>
                <w:color w:val="0000FF"/>
                <w:lang w:eastAsia="en-US"/>
              </w:rPr>
              <w:t>600</w:t>
            </w:r>
          </w:p>
        </w:tc>
        <w:tc>
          <w:tcPr>
            <w:tcW w:w="850" w:type="dxa"/>
            <w:tcBorders>
              <w:start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89"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1"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end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top w:val="single" w:sz="6" w:space="0" w:color="000000"/>
              <w:start w:val="single" w:sz="6" w:space="0" w:color="000000"/>
              <w:bottom w:val="doub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09" w:type="dxa"/>
            <w:tcBorders>
              <w:top w:val="single" w:sz="6" w:space="0" w:color="000000"/>
              <w:bottom w:val="double" w:sz="6" w:space="0" w:color="000000"/>
            </w:tcBorders>
          </w:tcPr>
          <w:p>
            <w:pPr>
              <w:pStyle w:val="Normal"/>
              <w:jc w:val="end"/>
              <w:rPr>
                <w:rFonts w:ascii="Arial" w:hAnsi="Arial" w:cs="Arial"/>
                <w:b/>
                <w:color w:val="FF0000"/>
                <w:lang w:eastAsia="en-US"/>
              </w:rPr>
            </w:pPr>
            <w:r>
              <w:rPr>
                <w:rFonts w:cs="Arial" w:ascii="Arial" w:hAnsi="Arial"/>
                <w:b/>
                <w:color w:val="FF0000"/>
                <w:lang w:eastAsia="en-US"/>
              </w:rPr>
              <w:t>650</w:t>
            </w:r>
          </w:p>
        </w:tc>
        <w:tc>
          <w:tcPr>
            <w:tcW w:w="674" w:type="dxa"/>
            <w:tcBorders>
              <w:top w:val="single" w:sz="6" w:space="0" w:color="000000"/>
              <w:bottom w:val="doub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704</w:t>
            </w:r>
          </w:p>
        </w:tc>
        <w:tc>
          <w:tcPr>
            <w:tcW w:w="850" w:type="dxa"/>
            <w:tcBorders>
              <w:start w:val="sing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89"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33" w:hRule="atLeast"/>
        </w:trPr>
        <w:tc>
          <w:tcPr>
            <w:tcW w:w="90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4"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42" w:type="dxa"/>
            <w:tcBorders>
              <w:top w:val="doub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09" w:type="dxa"/>
            <w:tcBorders>
              <w:top w:val="doub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74" w:type="dxa"/>
            <w:tcBorders>
              <w:top w:val="double" w:sz="6"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50"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89" w:type="dxa"/>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4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BodyText"/>
        <w:rPr/>
      </w:pPr>
      <w:r>
        <w:rPr/>
      </w:r>
    </w:p>
    <w:p>
      <w:pPr>
        <w:pStyle w:val="BodyText"/>
        <w:rPr/>
      </w:pPr>
      <w:r>
        <w:rPr>
          <w:b/>
        </w:rPr>
        <w:t>Reserve requirements</w:t>
      </w:r>
      <w:r>
        <w:rPr/>
        <w:t xml:space="preserve">  from IZARAGOZ@Epelectric.com</w:t>
      </w:r>
    </w:p>
    <w:tbl>
      <w:tblPr>
        <w:tblW w:w="6498" w:type="dxa"/>
        <w:jc w:val="start"/>
        <w:tblInd w:w="0" w:type="dxa"/>
        <w:tblLayout w:type="fixed"/>
        <w:tblCellMar>
          <w:top w:w="0" w:type="dxa"/>
          <w:start w:w="108" w:type="dxa"/>
          <w:bottom w:w="0" w:type="dxa"/>
          <w:end w:w="108" w:type="dxa"/>
        </w:tblCellMar>
      </w:tblPr>
      <w:tblGrid>
        <w:gridCol w:w="1638"/>
        <w:gridCol w:w="2280"/>
        <w:gridCol w:w="2580"/>
      </w:tblGrid>
      <w:tr>
        <w:trPr>
          <w:trHeight w:val="495" w:hRule="exact"/>
        </w:trPr>
        <w:tc>
          <w:tcPr>
            <w:tcW w:w="1638" w:type="dxa"/>
            <w:tcBorders/>
          </w:tcPr>
          <w:p>
            <w:pPr>
              <w:pStyle w:val="Normal"/>
              <w:snapToGrid w:val="false"/>
              <w:rPr>
                <w:rFonts w:ascii="Arial" w:hAnsi="Arial" w:cs="Arial"/>
                <w:sz w:val="24"/>
                <w:lang w:eastAsia="en-US"/>
              </w:rPr>
            </w:pPr>
            <w:r>
              <w:rPr>
                <w:rFonts w:cs="Arial" w:ascii="Arial" w:hAnsi="Arial"/>
                <w:sz w:val="24"/>
                <w:lang w:eastAsia="en-US"/>
              </w:rPr>
            </w:r>
          </w:p>
        </w:tc>
        <w:tc>
          <w:tcPr>
            <w:tcW w:w="2280" w:type="dxa"/>
            <w:tcBorders/>
          </w:tcPr>
          <w:p>
            <w:pPr>
              <w:pStyle w:val="Normal"/>
              <w:rPr>
                <w:rFonts w:ascii="Arial" w:hAnsi="Arial" w:cs="Arial"/>
                <w:sz w:val="24"/>
                <w:lang w:eastAsia="en-US"/>
              </w:rPr>
            </w:pPr>
            <w:r>
              <w:rPr>
                <w:rFonts w:cs="Arial" w:ascii="Arial" w:hAnsi="Arial"/>
                <w:b/>
                <w:color w:val="000000"/>
                <w:sz w:val="24"/>
                <w:lang w:eastAsia="en-US"/>
              </w:rPr>
              <w:t>FOR APRIL 5, 2000</w:t>
            </w:r>
          </w:p>
        </w:tc>
        <w:tc>
          <w:tcPr>
            <w:tcW w:w="2580" w:type="dxa"/>
            <w:tcBorders/>
          </w:tcPr>
          <w:p>
            <w:pPr>
              <w:pStyle w:val="Normal"/>
              <w:snapToGrid w:val="false"/>
              <w:rPr>
                <w:rFonts w:ascii="Arial" w:hAnsi="Arial" w:cs="Arial"/>
                <w:sz w:val="24"/>
                <w:lang w:eastAsia="en-US"/>
              </w:rPr>
            </w:pPr>
            <w:r>
              <w:rPr>
                <w:rFonts w:cs="Arial" w:ascii="Arial" w:hAnsi="Arial"/>
                <w:sz w:val="24"/>
                <w:lang w:eastAsia="en-US"/>
              </w:rPr>
            </w:r>
          </w:p>
        </w:tc>
      </w:tr>
      <w:tr>
        <w:trPr>
          <w:trHeight w:val="315" w:hRule="exact"/>
        </w:trPr>
        <w:tc>
          <w:tcPr>
            <w:tcW w:w="1638" w:type="dxa"/>
            <w:tcBorders/>
          </w:tcPr>
          <w:p>
            <w:pPr>
              <w:pStyle w:val="Normal"/>
              <w:snapToGrid w:val="false"/>
              <w:rPr>
                <w:rFonts w:ascii="Arial" w:hAnsi="Arial" w:cs="Arial"/>
                <w:sz w:val="24"/>
                <w:lang w:eastAsia="en-US"/>
              </w:rPr>
            </w:pPr>
            <w:r>
              <w:rPr>
                <w:rFonts w:cs="Arial" w:ascii="Arial" w:hAnsi="Arial"/>
                <w:sz w:val="24"/>
                <w:lang w:eastAsia="en-US"/>
              </w:rPr>
            </w:r>
          </w:p>
        </w:tc>
        <w:tc>
          <w:tcPr>
            <w:tcW w:w="2280" w:type="dxa"/>
            <w:tcBorders/>
          </w:tcPr>
          <w:p>
            <w:pPr>
              <w:pStyle w:val="Normal"/>
              <w:jc w:val="center"/>
              <w:rPr>
                <w:rFonts w:ascii="Arial" w:hAnsi="Arial" w:cs="Arial"/>
                <w:sz w:val="24"/>
                <w:lang w:eastAsia="en-US"/>
              </w:rPr>
            </w:pPr>
            <w:r>
              <w:rPr>
                <w:rFonts w:cs="Arial" w:ascii="Arial" w:hAnsi="Arial"/>
                <w:b/>
                <w:color w:val="000000"/>
                <w:sz w:val="24"/>
                <w:lang w:eastAsia="en-US"/>
              </w:rPr>
              <w:t>Contingent Res.</w:t>
            </w:r>
          </w:p>
        </w:tc>
        <w:tc>
          <w:tcPr>
            <w:tcW w:w="2580" w:type="dxa"/>
            <w:tcBorders/>
          </w:tcPr>
          <w:p>
            <w:pPr>
              <w:pStyle w:val="Normal"/>
              <w:jc w:val="center"/>
              <w:rPr>
                <w:rFonts w:ascii="Arial" w:hAnsi="Arial" w:cs="Arial"/>
                <w:sz w:val="24"/>
                <w:lang w:eastAsia="en-US"/>
              </w:rPr>
            </w:pPr>
            <w:r>
              <w:rPr>
                <w:rFonts w:cs="Arial" w:ascii="Arial" w:hAnsi="Arial"/>
                <w:b/>
                <w:color w:val="000000"/>
                <w:sz w:val="24"/>
                <w:lang w:eastAsia="en-US"/>
              </w:rPr>
              <w:t>Spinning Res.</w:t>
            </w:r>
          </w:p>
        </w:tc>
      </w:tr>
      <w:tr>
        <w:trPr>
          <w:trHeight w:val="330" w:hRule="exact"/>
        </w:trPr>
        <w:tc>
          <w:tcPr>
            <w:tcW w:w="1638" w:type="dxa"/>
            <w:tcBorders/>
          </w:tcPr>
          <w:p>
            <w:pPr>
              <w:pStyle w:val="Normal"/>
              <w:jc w:val="center"/>
              <w:rPr>
                <w:rFonts w:ascii="Arial" w:hAnsi="Arial" w:cs="Arial"/>
                <w:sz w:val="24"/>
                <w:lang w:eastAsia="en-US"/>
              </w:rPr>
            </w:pPr>
            <w:r>
              <w:rPr>
                <w:rFonts w:cs="Arial" w:ascii="Arial" w:hAnsi="Arial"/>
                <w:b/>
                <w:color w:val="000000"/>
                <w:sz w:val="24"/>
                <w:lang w:eastAsia="en-US"/>
              </w:rPr>
              <w:t>Hour</w:t>
            </w:r>
          </w:p>
        </w:tc>
        <w:tc>
          <w:tcPr>
            <w:tcW w:w="2280" w:type="dxa"/>
            <w:tcBorders/>
          </w:tcPr>
          <w:p>
            <w:pPr>
              <w:pStyle w:val="Normal"/>
              <w:jc w:val="center"/>
              <w:rPr>
                <w:rFonts w:ascii="Arial" w:hAnsi="Arial" w:cs="Arial"/>
                <w:sz w:val="24"/>
                <w:lang w:eastAsia="en-US"/>
              </w:rPr>
            </w:pPr>
            <w:r>
              <w:rPr>
                <w:rFonts w:cs="Arial" w:ascii="Arial" w:hAnsi="Arial"/>
                <w:b/>
                <w:color w:val="000000"/>
                <w:sz w:val="24"/>
                <w:lang w:eastAsia="en-US"/>
              </w:rPr>
              <w:t>Quota</w:t>
            </w:r>
          </w:p>
        </w:tc>
        <w:tc>
          <w:tcPr>
            <w:tcW w:w="2580" w:type="dxa"/>
            <w:tcBorders/>
          </w:tcPr>
          <w:p>
            <w:pPr>
              <w:pStyle w:val="Normal"/>
              <w:jc w:val="center"/>
              <w:rPr>
                <w:rFonts w:ascii="Arial" w:hAnsi="Arial" w:cs="Arial"/>
                <w:sz w:val="24"/>
                <w:lang w:eastAsia="en-US"/>
              </w:rPr>
            </w:pPr>
            <w:r>
              <w:rPr>
                <w:rFonts w:cs="Arial" w:ascii="Arial" w:hAnsi="Arial"/>
                <w:b/>
                <w:color w:val="000000"/>
                <w:sz w:val="24"/>
                <w:lang w:eastAsia="en-US"/>
              </w:rPr>
              <w:t>Quota</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65</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33</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66</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33</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3</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67</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34</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4</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66</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33</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5</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66</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33</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6</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67</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34</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7</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65</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33</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8</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62</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31</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9</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61</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31</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10</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61</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31</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11</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60</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12</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60</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13</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60</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14</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60</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15</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59</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16</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58</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17</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57</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18</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57</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19</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58</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20</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59</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21</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58</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22</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57</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29</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23</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60</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30</w:t>
            </w:r>
          </w:p>
        </w:tc>
      </w:tr>
      <w:tr>
        <w:trPr>
          <w:trHeight w:val="315" w:hRule="exact"/>
        </w:trPr>
        <w:tc>
          <w:tcPr>
            <w:tcW w:w="1638" w:type="dxa"/>
            <w:tcBorders/>
          </w:tcPr>
          <w:p>
            <w:pPr>
              <w:pStyle w:val="Normal"/>
              <w:jc w:val="end"/>
              <w:rPr>
                <w:rFonts w:ascii="Arial" w:hAnsi="Arial" w:cs="Arial"/>
                <w:sz w:val="24"/>
                <w:lang w:eastAsia="en-US"/>
              </w:rPr>
            </w:pPr>
            <w:r>
              <w:rPr>
                <w:rFonts w:cs="Arial" w:ascii="Arial" w:hAnsi="Arial"/>
                <w:color w:val="000000"/>
                <w:sz w:val="24"/>
                <w:lang w:eastAsia="en-US"/>
              </w:rPr>
              <w:t>24</w:t>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63</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32</w:t>
            </w:r>
          </w:p>
        </w:tc>
      </w:tr>
      <w:tr>
        <w:trPr>
          <w:trHeight w:val="315" w:hRule="exact"/>
        </w:trPr>
        <w:tc>
          <w:tcPr>
            <w:tcW w:w="1638" w:type="dxa"/>
            <w:tcBorders/>
          </w:tcPr>
          <w:p>
            <w:pPr>
              <w:pStyle w:val="Normal"/>
              <w:snapToGrid w:val="false"/>
              <w:rPr>
                <w:rFonts w:ascii="Arial" w:hAnsi="Arial" w:cs="Arial"/>
                <w:sz w:val="24"/>
                <w:lang w:eastAsia="en-US"/>
              </w:rPr>
            </w:pPr>
            <w:r>
              <w:rPr>
                <w:rFonts w:cs="Arial" w:ascii="Arial" w:hAnsi="Arial"/>
                <w:sz w:val="24"/>
                <w:lang w:eastAsia="en-US"/>
              </w:rPr>
            </w:r>
          </w:p>
        </w:tc>
        <w:tc>
          <w:tcPr>
            <w:tcW w:w="2280" w:type="dxa"/>
            <w:tcBorders/>
          </w:tcPr>
          <w:p>
            <w:pPr>
              <w:pStyle w:val="Normal"/>
              <w:jc w:val="end"/>
              <w:rPr>
                <w:rFonts w:ascii="Arial" w:hAnsi="Arial" w:cs="Arial"/>
                <w:sz w:val="24"/>
                <w:lang w:eastAsia="en-US"/>
              </w:rPr>
            </w:pPr>
            <w:r>
              <w:rPr>
                <w:rFonts w:cs="Arial" w:ascii="Arial" w:hAnsi="Arial"/>
                <w:color w:val="000000"/>
                <w:sz w:val="24"/>
                <w:lang w:eastAsia="en-US"/>
              </w:rPr>
              <w:t>1472</w:t>
            </w:r>
          </w:p>
        </w:tc>
        <w:tc>
          <w:tcPr>
            <w:tcW w:w="2580" w:type="dxa"/>
            <w:tcBorders/>
          </w:tcPr>
          <w:p>
            <w:pPr>
              <w:pStyle w:val="Normal"/>
              <w:jc w:val="end"/>
              <w:rPr>
                <w:rFonts w:ascii="Arial" w:hAnsi="Arial" w:cs="Arial"/>
                <w:sz w:val="24"/>
                <w:lang w:eastAsia="en-US"/>
              </w:rPr>
            </w:pPr>
            <w:r>
              <w:rPr>
                <w:rFonts w:eastAsia="Arial" w:cs="Arial" w:ascii="Arial" w:hAnsi="Arial"/>
                <w:color w:val="000000"/>
                <w:sz w:val="24"/>
                <w:lang w:eastAsia="en-US"/>
              </w:rPr>
              <w:t xml:space="preserve"> </w:t>
            </w:r>
            <w:r>
              <w:rPr>
                <w:rFonts w:cs="Arial" w:ascii="Arial" w:hAnsi="Arial"/>
                <w:color w:val="000000"/>
                <w:sz w:val="24"/>
                <w:lang w:eastAsia="en-US"/>
              </w:rPr>
              <w:t>736</w:t>
            </w:r>
          </w:p>
        </w:tc>
      </w:tr>
    </w:tbl>
    <w:p>
      <w:pPr>
        <w:pStyle w:val="BodyText"/>
        <w:rPr/>
      </w:pPr>
      <w:r>
        <w:rPr/>
      </w:r>
    </w:p>
    <w:p>
      <w:pPr>
        <w:pStyle w:val="BodyText"/>
        <w:rPr>
          <w:b/>
        </w:rPr>
      </w:pPr>
      <w:r>
        <w:rPr>
          <w:b/>
        </w:rPr>
        <w:t>Transmission:</w:t>
      </w:r>
    </w:p>
    <w:p>
      <w:pPr>
        <w:pStyle w:val="BodyText"/>
        <w:rPr>
          <w:b/>
        </w:rPr>
      </w:pPr>
      <w:r>
        <w:rPr>
          <w:b/>
        </w:rPr>
      </w:r>
    </w:p>
    <w:p>
      <w:pPr>
        <w:pStyle w:val="BodyText"/>
        <w:rPr/>
      </w:pPr>
      <w:r>
        <w:rPr/>
      </w:r>
    </w:p>
    <w:p>
      <w:pPr>
        <w:pStyle w:val="BodyText"/>
        <w:rPr/>
      </w:pPr>
      <w:r>
        <w:rPr/>
        <w:t>El Paso Electric is connected via its tie lines with Public Service of New Mexico, SouthWestern public service, Texas New Mexico Power, Tucson Electric &amp; Plains Elec. Generation Co-op.</w:t>
      </w:r>
    </w:p>
    <w:p>
      <w:pPr>
        <w:pStyle w:val="BodyText"/>
        <w:rPr/>
      </w:pPr>
      <w:r>
        <w:rPr/>
      </w:r>
    </w:p>
    <w:p>
      <w:pPr>
        <w:pStyle w:val="BodyText"/>
        <w:rPr/>
      </w:pPr>
      <w:r>
        <w:rPr/>
        <w:t xml:space="preserve">El Paso has delivery and sales rights at the Palo Verde and Four Corners 345-tie points. Due it’s remote generation assets. </w:t>
      </w:r>
    </w:p>
    <w:p>
      <w:pPr>
        <w:pStyle w:val="BodyText"/>
        <w:rPr/>
      </w:pPr>
      <w:r>
        <w:rPr/>
      </w:r>
    </w:p>
    <w:p>
      <w:pPr>
        <w:pStyle w:val="BodyText"/>
        <w:rPr/>
      </w:pPr>
      <w:r>
        <w:rPr/>
        <w:t>To deliver power from the Four Corners units El Paso relies on the West Mesa 345Kv (100% ownership) line that runs through PNM’s service territory.</w:t>
      </w:r>
    </w:p>
    <w:p>
      <w:pPr>
        <w:pStyle w:val="BodyText"/>
        <w:rPr/>
      </w:pPr>
      <w:r>
        <w:rPr/>
      </w:r>
    </w:p>
    <w:p>
      <w:pPr>
        <w:pStyle w:val="BodyText"/>
        <w:rPr/>
      </w:pPr>
      <w:r>
        <w:rPr/>
        <w:t xml:space="preserve">To deliver power from the Palo Verde units El Paso relies on the Greendale to Hidalgo (40% ownership), Hidalgo to Ulna line ( 57% ownership), Luna to Diablo line (100% ownership), 345Kv lines and the Springville to Diablo 345 kV line(100% ownership). </w:t>
      </w:r>
    </w:p>
    <w:p>
      <w:pPr>
        <w:pStyle w:val="BodyText"/>
        <w:rPr/>
      </w:pPr>
      <w:r>
        <w:rPr/>
      </w:r>
    </w:p>
    <w:p>
      <w:pPr>
        <w:pStyle w:val="BodyText"/>
        <w:rPr/>
      </w:pPr>
      <w:r>
        <w:rPr/>
        <w:t>El Paso also owns the Artesia AC-DC-AC conversion tie line, which connects El Paso’s system with SouthWestern Public Service. This is a 200 Mw tie.</w:t>
      </w:r>
    </w:p>
    <w:p>
      <w:pPr>
        <w:pStyle w:val="BodyText"/>
        <w:rPr/>
      </w:pPr>
      <w:r>
        <w:rPr/>
      </w:r>
    </w:p>
    <w:p>
      <w:pPr>
        <w:pStyle w:val="BodyText"/>
        <w:rPr/>
      </w:pPr>
      <w:r>
        <w:rPr/>
        <w:t xml:space="preserve">To bring the energy from its remote generation units to West Mesa, Springerville and Greenlee substations El Paso has exchange rights with Tucson Electric Company. El Paso may provide a Minimum of 300Mw from Palo Verde and West Wing substations and a maximum of 450Mw. TEP provides the energy back at Greenlee, Springerville, San Juan and Four Corners. </w:t>
      </w:r>
    </w:p>
    <w:p>
      <w:pPr>
        <w:pStyle w:val="BodyText"/>
        <w:rPr/>
      </w:pPr>
      <w:r>
        <w:rPr/>
      </w:r>
    </w:p>
    <w:p>
      <w:pPr>
        <w:pStyle w:val="BodyText"/>
        <w:rPr/>
      </w:pPr>
      <w:r>
        <w:rPr/>
        <w:t xml:space="preserve">El Paso has 100 Mw of exchange rights at Coronado with SRP. El Paso has 100 Mw of rights from San Juan to Springerville and 100 Mw of rights from San Juan to Four Corners. From Four Corners to West Mesa El Paso has 124 Mw of rights. </w:t>
      </w:r>
    </w:p>
    <w:p>
      <w:pPr>
        <w:pStyle w:val="BodyText"/>
        <w:rPr/>
      </w:pPr>
      <w:r>
        <w:rPr/>
      </w:r>
    </w:p>
    <w:p>
      <w:pPr>
        <w:pStyle w:val="BodyText"/>
        <w:rPr/>
      </w:pPr>
      <w:r>
        <w:rPr/>
        <w:t>See Transmission rights and ownership example sheet.</w:t>
      </w:r>
    </w:p>
    <w:p>
      <w:pPr>
        <w:pStyle w:val="BodyText"/>
        <w:rPr/>
      </w:pPr>
      <w:r>
        <w:rPr/>
      </w:r>
    </w:p>
    <w:p>
      <w:pPr>
        <w:pStyle w:val="BodyText"/>
        <w:rPr>
          <w:b/>
        </w:rPr>
      </w:pPr>
      <w:r>
        <w:rPr>
          <w:b/>
        </w:rPr>
        <w:t>CONTRACTS:</w:t>
      </w:r>
    </w:p>
    <w:p>
      <w:pPr>
        <w:pStyle w:val="BodyText"/>
        <w:rPr>
          <w:b/>
        </w:rPr>
      </w:pPr>
      <w:r>
        <w:rPr>
          <w:b/>
        </w:rPr>
      </w:r>
    </w:p>
    <w:p>
      <w:pPr>
        <w:pStyle w:val="BodyText"/>
        <w:rPr/>
      </w:pPr>
      <w:r>
        <w:rPr/>
        <w:t>IID –</w:t>
      </w:r>
    </w:p>
    <w:p>
      <w:pPr>
        <w:pStyle w:val="BodyText"/>
        <w:rPr/>
      </w:pPr>
      <w:r>
        <w:rPr/>
      </w:r>
    </w:p>
    <w:p>
      <w:pPr>
        <w:pStyle w:val="BodyText"/>
        <w:rPr/>
      </w:pPr>
      <w:r>
        <w:rPr/>
        <w:t>El Paso sells up to 150 Mw of energy to Imperial Irrigation District (IID) at Palo Verde on an hourly basis. IID can ramp this energy from a zero to 150 Mw or any volume in between on an hourly basis. Usually IID will notify the marketer by 15 minutes after the hour of their energy needs for the next hour.</w:t>
      </w:r>
    </w:p>
    <w:p>
      <w:pPr>
        <w:pStyle w:val="BodyText"/>
        <w:rPr/>
      </w:pPr>
      <w:r>
        <w:rPr/>
      </w:r>
    </w:p>
    <w:p>
      <w:pPr>
        <w:pStyle w:val="BodyText"/>
        <w:rPr/>
      </w:pPr>
      <w:r>
        <w:rPr/>
        <w:t xml:space="preserve">100 Mw of this total is firm energy. 50 Mw of this energy is interruptible IF El Paso’s system is in danger of being damaged or load being curtailed. However, if it becomes necessary to take back this energy from IID El Paso’s marketing staff will offer to buy this energy from IID. Then as a last resort interrupt the power. </w:t>
      </w:r>
    </w:p>
    <w:p>
      <w:pPr>
        <w:pStyle w:val="BodyText"/>
        <w:rPr/>
      </w:pPr>
      <w:r>
        <w:rPr/>
      </w:r>
    </w:p>
    <w:p>
      <w:pPr>
        <w:pStyle w:val="BodyText"/>
        <w:rPr/>
      </w:pPr>
      <w:r>
        <w:rPr/>
        <w:t xml:space="preserve">PNM -  </w:t>
      </w:r>
    </w:p>
    <w:p>
      <w:pPr>
        <w:pStyle w:val="BodyText"/>
        <w:rPr/>
      </w:pPr>
      <w:r>
        <w:rPr/>
        <w:t>Public Service of New Mexico owns a percentage of the Rio Grande 7 &amp; 8 unit’s capacity.</w:t>
      </w:r>
    </w:p>
    <w:p>
      <w:pPr>
        <w:pStyle w:val="BodyText"/>
        <w:rPr/>
      </w:pPr>
      <w:r>
        <w:rPr/>
      </w:r>
    </w:p>
    <w:p>
      <w:pPr>
        <w:pStyle w:val="BodyText"/>
        <w:rPr/>
      </w:pPr>
      <w:r>
        <w:rPr/>
        <w:t xml:space="preserve">Per contract with El Paso this allows PNM to raise and lower, on an hourly basis, the take from each of these units. PNM may only raise or lower their contingent take based on the ramp rate and overall capacity of the Rio Grande units. PNM may at times take their contingent to zero Mw’s in this case PNM is required to give an 2 hours notice before PNM can begin receiving contingent energy. </w:t>
      </w:r>
    </w:p>
    <w:p>
      <w:pPr>
        <w:pStyle w:val="BodyText"/>
        <w:rPr/>
      </w:pPr>
      <w:r>
        <w:rPr/>
        <w:t xml:space="preserve">See the </w:t>
      </w:r>
      <w:r>
        <w:rPr>
          <w:b/>
        </w:rPr>
        <w:t>PNM Contingent calculator</w:t>
      </w:r>
      <w:r>
        <w:rPr/>
        <w:t xml:space="preserve"> below. </w:t>
      </w:r>
    </w:p>
    <w:p>
      <w:pPr>
        <w:pStyle w:val="BodyText"/>
        <w:rPr/>
      </w:pPr>
      <w:r>
        <w:rPr/>
        <w:t xml:space="preserve">Also, PNM has until 30 minutes after the hour to schedule for the next hour i.e. 1630 to schedule for hour ending 18. PNM will test this limit often and the Enron marketers need to be aggressive enforcing this deadline. </w:t>
      </w:r>
    </w:p>
    <w:p>
      <w:pPr>
        <w:pStyle w:val="BodyText"/>
        <w:rPr/>
      </w:pPr>
      <w:r>
        <w:rPr/>
      </w:r>
    </w:p>
    <w:p>
      <w:pPr>
        <w:pStyle w:val="BodyText"/>
        <w:rPr/>
      </w:pPr>
      <w:r>
        <w:rPr/>
        <w:t xml:space="preserve">To determine what PNM paid for the contingent energy for the previous hours call the dispatchers and ask for PNM’s contingent cost for the previous hour. Take this into consideration when PNM calls for economy quotes. PNM will try to buy economy energy from El Paso at a cost below their contingent costs and cut their contingent purchases.  </w:t>
      </w:r>
    </w:p>
    <w:p>
      <w:pPr>
        <w:pStyle w:val="BodyText"/>
        <w:rPr/>
      </w:pPr>
      <w:r>
        <w:rPr/>
      </w:r>
    </w:p>
    <w:p>
      <w:pPr>
        <w:pStyle w:val="BodyText"/>
        <w:rPr/>
      </w:pPr>
      <w:r>
        <w:rPr/>
        <w:t>The calculator below should be used to determine PNM’s hourly contingent entitlement. This model gives the maximum take as well as the maximum increase or decrease in schedule changes from hour to hour. This model can be found at M:Electric/epe/epe2000/Rogers_Calculator2/calculations tab.</w:t>
      </w:r>
    </w:p>
    <w:p>
      <w:pPr>
        <w:pStyle w:val="BodyText"/>
        <w:rPr/>
      </w:pPr>
      <w:r>
        <w:rPr/>
      </w:r>
    </w:p>
    <w:tbl>
      <w:tblPr>
        <w:tblW w:w="9384" w:type="dxa"/>
        <w:jc w:val="start"/>
        <w:tblInd w:w="-60" w:type="dxa"/>
        <w:tblLayout w:type="fixed"/>
        <w:tblCellMar>
          <w:top w:w="0" w:type="dxa"/>
          <w:start w:w="30" w:type="dxa"/>
          <w:bottom w:w="0" w:type="dxa"/>
          <w:end w:w="30" w:type="dxa"/>
        </w:tblCellMar>
      </w:tblPr>
      <w:tblGrid>
        <w:gridCol w:w="1133"/>
        <w:gridCol w:w="1577"/>
        <w:gridCol w:w="1166"/>
        <w:gridCol w:w="1183"/>
        <w:gridCol w:w="1011"/>
        <w:gridCol w:w="1293"/>
        <w:gridCol w:w="1011"/>
        <w:gridCol w:w="1010"/>
      </w:tblGrid>
      <w:tr>
        <w:trPr>
          <w:trHeight w:val="262" w:hRule="atLeast"/>
        </w:trPr>
        <w:tc>
          <w:tcPr>
            <w:tcW w:w="113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77" w:type="dxa"/>
            <w:tcBorders/>
          </w:tcPr>
          <w:p>
            <w:pPr>
              <w:pStyle w:val="Normal"/>
              <w:jc w:val="center"/>
              <w:rPr>
                <w:rFonts w:ascii="Arial" w:hAnsi="Arial" w:cs="Arial"/>
                <w:b/>
                <w:color w:val="0000FF"/>
                <w:lang w:eastAsia="en-US"/>
              </w:rPr>
            </w:pPr>
            <w:r>
              <w:rPr>
                <w:rFonts w:cs="Arial" w:ascii="Arial" w:hAnsi="Arial"/>
                <w:b/>
                <w:color w:val="0000FF"/>
                <w:lang w:eastAsia="en-US"/>
              </w:rPr>
              <w:t>Enter Blue Numbers</w:t>
            </w:r>
          </w:p>
        </w:tc>
        <w:tc>
          <w:tcPr>
            <w:tcW w:w="116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77" w:type="dxa"/>
            <w:tcBorders>
              <w:top w:val="single" w:sz="6" w:space="0" w:color="000000"/>
              <w:start w:val="single" w:sz="6" w:space="0" w:color="000000"/>
            </w:tcBorders>
            <w:shd w:fill="FFFF00" w:val="clear"/>
          </w:tcPr>
          <w:p>
            <w:pPr>
              <w:pStyle w:val="Normal"/>
              <w:rPr>
                <w:rFonts w:ascii="Arial" w:hAnsi="Arial" w:cs="Arial"/>
                <w:b/>
                <w:color w:val="000000"/>
                <w:lang w:eastAsia="en-US"/>
              </w:rPr>
            </w:pPr>
            <w:r>
              <w:rPr>
                <w:rFonts w:cs="Arial" w:ascii="Arial" w:hAnsi="Arial"/>
                <w:b/>
                <w:color w:val="000000"/>
                <w:lang w:eastAsia="en-US"/>
              </w:rPr>
              <w:t>PNM's Contingent</w:t>
            </w:r>
          </w:p>
        </w:tc>
        <w:tc>
          <w:tcPr>
            <w:tcW w:w="1166" w:type="dxa"/>
            <w:tcBorders>
              <w:top w:val="single" w:sz="6" w:space="0" w:color="000000"/>
              <w:end w:val="single" w:sz="6" w:space="0" w:color="000000"/>
            </w:tcBorders>
            <w:shd w:fill="FFFF00" w:val="clear"/>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op w:val="single" w:sz="6" w:space="0" w:color="000000"/>
              <w:start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57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Gross output</w:t>
            </w:r>
          </w:p>
        </w:tc>
        <w:tc>
          <w:tcPr>
            <w:tcW w:w="2349"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lang w:eastAsia="en-US"/>
              </w:rPr>
              <w:t xml:space="preserve">Station Services***  </w:t>
            </w:r>
            <w:r>
              <w:rPr>
                <w:rFonts w:cs="Arial" w:ascii="Arial" w:hAnsi="Arial"/>
                <w:b/>
                <w:color w:val="000000"/>
                <w:lang w:eastAsia="en-US"/>
              </w:rPr>
              <w:t>NET</w:t>
            </w:r>
            <w:r>
              <w:rPr>
                <w:rFonts w:cs="Arial" w:ascii="Arial" w:hAnsi="Arial"/>
                <w:color w:val="000000"/>
                <w:lang w:eastAsia="en-US"/>
              </w:rPr>
              <w:t xml:space="preserve">  </w:t>
            </w:r>
          </w:p>
        </w:tc>
        <w:tc>
          <w:tcPr>
            <w:tcW w:w="0" w:type="dxa"/>
            <w:vMerge w:val="continue"/>
            <w:tcBorders>
              <w:top w:val="single" w:sz="6" w:space="0" w:color="000000"/>
              <w:bottom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1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of cap</w:t>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Rio 7*</w:t>
            </w:r>
          </w:p>
        </w:tc>
        <w:tc>
          <w:tcPr>
            <w:tcW w:w="1577" w:type="dxa"/>
            <w:tcBorders>
              <w:top w:val="single" w:sz="6" w:space="0" w:color="000000"/>
              <w:start w:val="single" w:sz="6" w:space="0" w:color="000000"/>
              <w:end w:val="single" w:sz="6" w:space="0" w:color="000000"/>
            </w:tcBorders>
          </w:tcPr>
          <w:p>
            <w:pPr>
              <w:pStyle w:val="Normal"/>
              <w:jc w:val="end"/>
              <w:rPr>
                <w:rFonts w:ascii="Arial" w:hAnsi="Arial" w:cs="Arial"/>
                <w:b/>
                <w:color w:val="0000FF"/>
                <w:lang w:eastAsia="en-US"/>
              </w:rPr>
            </w:pPr>
            <w:r>
              <w:rPr>
                <w:rFonts w:cs="Arial" w:ascii="Arial" w:hAnsi="Arial"/>
                <w:b/>
                <w:color w:val="0000FF"/>
                <w:lang w:eastAsia="en-US"/>
              </w:rPr>
              <w:t>38</w:t>
            </w:r>
          </w:p>
        </w:tc>
        <w:tc>
          <w:tcPr>
            <w:tcW w:w="1166" w:type="dxa"/>
            <w:tcBorders>
              <w:top w:val="single" w:sz="6" w:space="0" w:color="000000"/>
              <w:start w:val="single" w:sz="6" w:space="0" w:color="000000"/>
              <w:end w:val="single" w:sz="6" w:space="0" w:color="000000"/>
            </w:tcBorders>
          </w:tcPr>
          <w:p>
            <w:pPr>
              <w:pStyle w:val="Normal"/>
              <w:jc w:val="end"/>
              <w:rPr>
                <w:rFonts w:ascii="Arial" w:hAnsi="Arial" w:cs="Arial"/>
                <w:b/>
                <w:color w:val="0000FF"/>
                <w:lang w:eastAsia="en-US"/>
              </w:rPr>
            </w:pPr>
            <w:r>
              <w:rPr>
                <w:rFonts w:cs="Arial" w:ascii="Arial" w:hAnsi="Arial"/>
                <w:b/>
                <w:color w:val="0000FF"/>
                <w:lang w:eastAsia="en-US"/>
              </w:rPr>
              <w:t>3</w:t>
            </w:r>
          </w:p>
        </w:tc>
        <w:tc>
          <w:tcPr>
            <w:tcW w:w="1183" w:type="dxa"/>
            <w:tcBorders>
              <w:top w:val="single" w:sz="6" w:space="0" w:color="000000"/>
            </w:tcBorders>
          </w:tcPr>
          <w:p>
            <w:pPr>
              <w:pStyle w:val="Normal"/>
              <w:jc w:val="end"/>
              <w:rPr>
                <w:rFonts w:ascii="Arial" w:hAnsi="Arial" w:cs="Arial"/>
                <w:b/>
                <w:color w:val="FF0000"/>
                <w:lang w:eastAsia="en-US"/>
              </w:rPr>
            </w:pPr>
            <w:r>
              <w:rPr>
                <w:rFonts w:cs="Arial" w:ascii="Arial" w:hAnsi="Arial"/>
                <w:b/>
                <w:color w:val="FF0000"/>
                <w:lang w:eastAsia="en-US"/>
              </w:rPr>
              <w:t>35</w:t>
            </w:r>
          </w:p>
        </w:tc>
        <w:tc>
          <w:tcPr>
            <w:tcW w:w="1011"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70%</w:t>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Rio 8*</w:t>
            </w:r>
          </w:p>
        </w:tc>
        <w:tc>
          <w:tcPr>
            <w:tcW w:w="1577" w:type="dxa"/>
            <w:tcBorders>
              <w:start w:val="single" w:sz="6" w:space="0" w:color="000000"/>
              <w:bottom w:val="single" w:sz="6" w:space="0" w:color="000000"/>
              <w:end w:val="single" w:sz="6" w:space="0" w:color="000000"/>
            </w:tcBorders>
          </w:tcPr>
          <w:p>
            <w:pPr>
              <w:pStyle w:val="Normal"/>
              <w:jc w:val="end"/>
              <w:rPr>
                <w:rFonts w:ascii="Arial" w:hAnsi="Arial" w:cs="Arial"/>
                <w:b/>
                <w:color w:val="0000FF"/>
                <w:lang w:eastAsia="en-US"/>
              </w:rPr>
            </w:pPr>
            <w:r>
              <w:rPr>
                <w:rFonts w:cs="Arial" w:ascii="Arial" w:hAnsi="Arial"/>
                <w:b/>
                <w:color w:val="0000FF"/>
                <w:lang w:eastAsia="en-US"/>
              </w:rPr>
              <w:t>105</w:t>
            </w:r>
          </w:p>
        </w:tc>
        <w:tc>
          <w:tcPr>
            <w:tcW w:w="1166" w:type="dxa"/>
            <w:tcBorders>
              <w:start w:val="single" w:sz="6" w:space="0" w:color="000000"/>
              <w:bottom w:val="single" w:sz="6" w:space="0" w:color="000000"/>
              <w:end w:val="single" w:sz="6" w:space="0" w:color="000000"/>
            </w:tcBorders>
          </w:tcPr>
          <w:p>
            <w:pPr>
              <w:pStyle w:val="Normal"/>
              <w:jc w:val="end"/>
              <w:rPr>
                <w:rFonts w:ascii="Arial" w:hAnsi="Arial" w:cs="Arial"/>
                <w:b/>
                <w:color w:val="0000FF"/>
                <w:lang w:eastAsia="en-US"/>
              </w:rPr>
            </w:pPr>
            <w:r>
              <w:rPr>
                <w:rFonts w:cs="Arial" w:ascii="Arial" w:hAnsi="Arial"/>
                <w:b/>
                <w:color w:val="0000FF"/>
                <w:lang w:eastAsia="en-US"/>
              </w:rPr>
              <w:t>5</w:t>
            </w:r>
          </w:p>
        </w:tc>
        <w:tc>
          <w:tcPr>
            <w:tcW w:w="1183" w:type="dxa"/>
            <w:tcBorders>
              <w:bottom w:val="single" w:sz="6" w:space="0" w:color="000000"/>
            </w:tcBorders>
          </w:tcPr>
          <w:p>
            <w:pPr>
              <w:pStyle w:val="Normal"/>
              <w:jc w:val="end"/>
              <w:rPr>
                <w:rFonts w:ascii="Arial" w:hAnsi="Arial" w:cs="Arial"/>
                <w:b/>
                <w:color w:val="FF0000"/>
                <w:lang w:eastAsia="en-US"/>
              </w:rPr>
            </w:pPr>
            <w:r>
              <w:rPr>
                <w:rFonts w:cs="Arial" w:ascii="Arial" w:hAnsi="Arial"/>
                <w:b/>
                <w:color w:val="FF0000"/>
                <w:lang w:eastAsia="en-US"/>
              </w:rPr>
              <w:t>100</w:t>
            </w:r>
          </w:p>
        </w:tc>
        <w:tc>
          <w:tcPr>
            <w:tcW w:w="1011" w:type="dxa"/>
            <w:tcBorders>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67%</w:t>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start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577"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66"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8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11" w:type="dxa"/>
            <w:tcBorders>
              <w:top w:val="single" w:sz="6" w:space="0" w:color="000000"/>
              <w:start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10" w:type="dxa"/>
            <w:gridSpan w:val="2"/>
            <w:tcBorders>
              <w:start w:val="single" w:sz="6" w:space="0" w:color="000000"/>
            </w:tcBorders>
          </w:tcPr>
          <w:p>
            <w:pPr>
              <w:pStyle w:val="Normal"/>
              <w:rPr>
                <w:rFonts w:ascii="Arial" w:hAnsi="Arial" w:cs="Arial"/>
                <w:color w:val="000000"/>
                <w:lang w:eastAsia="en-US"/>
              </w:rPr>
            </w:pPr>
            <w:r>
              <w:rPr>
                <w:rFonts w:cs="Arial" w:ascii="Arial" w:hAnsi="Arial"/>
                <w:color w:val="000000"/>
                <w:lang w:eastAsia="en-US"/>
              </w:rPr>
              <w:t>PNM's Contingent**</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cPr>
          <w:p>
            <w:pPr>
              <w:pStyle w:val="Normal"/>
              <w:jc w:val="end"/>
              <w:rPr>
                <w:rFonts w:ascii="Arial" w:hAnsi="Arial" w:cs="Arial"/>
                <w:color w:val="0000FF"/>
                <w:lang w:eastAsia="en-US"/>
              </w:rPr>
            </w:pPr>
            <w:r>
              <w:rPr>
                <w:rFonts w:cs="Arial" w:ascii="Arial" w:hAnsi="Arial"/>
                <w:color w:val="0000FF"/>
                <w:lang w:eastAsia="en-US"/>
              </w:rPr>
              <w:t>70</w:t>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Rio 7= .25</w:t>
            </w:r>
          </w:p>
        </w:tc>
        <w:tc>
          <w:tcPr>
            <w:tcW w:w="1577" w:type="dxa"/>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op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12.25</w:t>
            </w:r>
          </w:p>
        </w:tc>
        <w:tc>
          <w:tcPr>
            <w:tcW w:w="1183" w:type="dxa"/>
            <w:tcBorders>
              <w:top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011" w:type="dxa"/>
            <w:tcBorders>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12.00</w:t>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Rio 8 =.75</w:t>
            </w:r>
          </w:p>
        </w:tc>
        <w:tc>
          <w:tcPr>
            <w:tcW w:w="1577"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35.00</w:t>
            </w:r>
          </w:p>
        </w:tc>
        <w:tc>
          <w:tcPr>
            <w:tcW w:w="1183" w:type="dxa"/>
            <w:tcBorders>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35.00</w:t>
            </w:r>
          </w:p>
        </w:tc>
        <w:tc>
          <w:tcPr>
            <w:tcW w:w="1011" w:type="dxa"/>
            <w:tcBorders>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21.00</w:t>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2710" w:type="dxa"/>
            <w:gridSpan w:val="2"/>
            <w:tcBorders>
              <w:top w:val="single" w:sz="6" w:space="0" w:color="000000"/>
              <w:end w:val="double" w:sz="6" w:space="0" w:color="000000"/>
            </w:tcBorders>
          </w:tcPr>
          <w:p>
            <w:pPr>
              <w:pStyle w:val="Normal"/>
              <w:rPr>
                <w:rFonts w:ascii="Arial" w:hAnsi="Arial" w:cs="Arial"/>
                <w:b/>
                <w:color w:val="FF0000"/>
                <w:lang w:eastAsia="en-US"/>
              </w:rPr>
            </w:pPr>
            <w:r>
              <w:rPr>
                <w:rFonts w:cs="Arial" w:ascii="Arial" w:hAnsi="Arial"/>
                <w:b/>
                <w:color w:val="FF0000"/>
                <w:lang w:eastAsia="en-US"/>
              </w:rPr>
              <w:t xml:space="preserve">Current Maximum Take </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166" w:type="dxa"/>
            <w:tcBorders>
              <w:top w:val="single" w:sz="6" w:space="0" w:color="000000"/>
              <w:start w:val="double" w:sz="6" w:space="0" w:color="000000"/>
              <w:bottom w:val="double" w:sz="6" w:space="0" w:color="000000"/>
              <w:end w:val="double" w:sz="6" w:space="0" w:color="000000"/>
            </w:tcBorders>
          </w:tcPr>
          <w:p>
            <w:pPr>
              <w:pStyle w:val="Normal"/>
              <w:jc w:val="end"/>
              <w:rPr>
                <w:rFonts w:ascii="Arial" w:hAnsi="Arial" w:cs="Arial"/>
                <w:color w:val="000000"/>
                <w:lang w:eastAsia="en-US"/>
              </w:rPr>
            </w:pPr>
            <w:r>
              <w:rPr>
                <w:rFonts w:cs="Arial" w:ascii="Arial" w:hAnsi="Arial"/>
                <w:color w:val="000000"/>
                <w:lang w:eastAsia="en-US"/>
              </w:rPr>
              <w:t>47.25</w:t>
            </w:r>
          </w:p>
        </w:tc>
        <w:tc>
          <w:tcPr>
            <w:tcW w:w="1183" w:type="dxa"/>
            <w:tcBorders>
              <w:start w:val="double" w:sz="6" w:space="0" w:color="000000"/>
              <w:bottom w:val="double" w:sz="6" w:space="0" w:color="000000"/>
            </w:tcBorders>
            <w:shd w:fill="FFFF00" w:val="clear"/>
          </w:tcPr>
          <w:p>
            <w:pPr>
              <w:pStyle w:val="Normal"/>
              <w:jc w:val="end"/>
              <w:rPr>
                <w:rFonts w:ascii="Arial" w:hAnsi="Arial" w:cs="Arial"/>
                <w:b/>
                <w:color w:val="FF0000"/>
                <w:lang w:eastAsia="en-US"/>
              </w:rPr>
            </w:pPr>
            <w:r>
              <w:rPr>
                <w:rFonts w:cs="Arial" w:ascii="Arial" w:hAnsi="Arial"/>
                <w:b/>
                <w:color w:val="FF0000"/>
                <w:lang w:eastAsia="en-US"/>
              </w:rPr>
              <w:t>47.00</w:t>
            </w:r>
          </w:p>
        </w:tc>
        <w:tc>
          <w:tcPr>
            <w:tcW w:w="1011" w:type="dxa"/>
            <w:tcBorders>
              <w:top w:val="single" w:sz="6" w:space="0" w:color="000000"/>
              <w:start w:val="single" w:sz="6" w:space="0" w:color="000000"/>
              <w:end w:val="single" w:sz="6" w:space="0" w:color="000000"/>
            </w:tcBorders>
            <w:shd w:fill="FFFF00" w:val="clear"/>
          </w:tcPr>
          <w:p>
            <w:pPr>
              <w:pStyle w:val="Normal"/>
              <w:snapToGrid w:val="false"/>
              <w:jc w:val="end"/>
              <w:rPr>
                <w:rFonts w:ascii="Arial" w:hAnsi="Arial" w:cs="Arial"/>
                <w:b/>
                <w:color w:val="FF0000"/>
                <w:lang w:eastAsia="en-US"/>
              </w:rPr>
            </w:pPr>
            <w:r>
              <w:rPr>
                <w:rFonts w:cs="Arial" w:ascii="Arial" w:hAnsi="Arial"/>
                <w:b/>
                <w:color w:val="FF0000"/>
                <w:lang w:eastAsia="en-US"/>
              </w:rPr>
            </w:r>
          </w:p>
        </w:tc>
        <w:tc>
          <w:tcPr>
            <w:tcW w:w="12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0" w:hRule="atLeast"/>
        </w:trPr>
        <w:tc>
          <w:tcPr>
            <w:tcW w:w="3876" w:type="dxa"/>
            <w:gridSpan w:val="3"/>
            <w:tcBorders/>
          </w:tcPr>
          <w:p>
            <w:pPr>
              <w:pStyle w:val="Normal"/>
              <w:rPr>
                <w:rFonts w:ascii="Arial" w:hAnsi="Arial" w:cs="Arial"/>
                <w:b/>
                <w:color w:val="FF0000"/>
                <w:lang w:eastAsia="en-US"/>
              </w:rPr>
            </w:pPr>
            <w:r>
              <w:rPr>
                <w:rFonts w:cs="Arial" w:ascii="Arial" w:hAnsi="Arial"/>
                <w:b/>
                <w:color w:val="FF0000"/>
                <w:lang w:eastAsia="en-US"/>
              </w:rPr>
              <w:t xml:space="preserve">Current Maximum Increase or Decrease </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double" w:sz="6" w:space="0" w:color="000000"/>
              <w:end w:val="single" w:sz="6" w:space="0" w:color="000000"/>
            </w:tcBorders>
            <w:shd w:fill="FFFF00" w:val="clear"/>
          </w:tcPr>
          <w:p>
            <w:pPr>
              <w:pStyle w:val="Normal"/>
              <w:jc w:val="end"/>
              <w:rPr>
                <w:rFonts w:ascii="Arial" w:hAnsi="Arial" w:cs="Arial"/>
                <w:b/>
                <w:color w:val="FF0000"/>
                <w:lang w:eastAsia="en-US"/>
              </w:rPr>
            </w:pPr>
            <w:r>
              <w:rPr>
                <w:rFonts w:cs="Arial" w:ascii="Arial" w:hAnsi="Arial"/>
                <w:b/>
                <w:color w:val="FF0000"/>
                <w:lang w:eastAsia="en-US"/>
              </w:rPr>
              <w:t>33.00</w:t>
            </w:r>
          </w:p>
        </w:tc>
        <w:tc>
          <w:tcPr>
            <w:tcW w:w="1293"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3876" w:type="dxa"/>
            <w:gridSpan w:val="3"/>
            <w:tcBorders/>
          </w:tcPr>
          <w:p>
            <w:pPr>
              <w:pStyle w:val="Normal"/>
              <w:rPr/>
            </w:pPr>
            <w:r>
              <w:rPr>
                <w:rFonts w:cs="Arial" w:ascii="Arial" w:hAnsi="Arial"/>
                <w:color w:val="000000"/>
                <w:lang w:eastAsia="en-US"/>
              </w:rPr>
              <w:t>**PNM's total contingent =</w:t>
            </w:r>
            <w:r>
              <w:rPr>
                <w:rFonts w:cs="Arial" w:ascii="Arial" w:hAnsi="Arial"/>
                <w:b/>
                <w:color w:val="000000"/>
                <w:lang w:eastAsia="en-US"/>
              </w:rPr>
              <w:t xml:space="preserve"> 70 with Units @ 100%</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3876" w:type="dxa"/>
            <w:gridSpan w:val="3"/>
            <w:tcBorders/>
          </w:tcPr>
          <w:p>
            <w:pPr>
              <w:pStyle w:val="Normal"/>
              <w:rPr>
                <w:rFonts w:ascii="Arial" w:hAnsi="Arial" w:cs="Arial"/>
                <w:color w:val="000000"/>
                <w:lang w:eastAsia="en-US"/>
              </w:rPr>
            </w:pPr>
            <w:r>
              <w:rPr>
                <w:rFonts w:cs="Arial" w:ascii="Arial" w:hAnsi="Arial"/>
                <w:color w:val="000000"/>
                <w:lang w:eastAsia="en-US"/>
              </w:rPr>
              <w:t>*based on high numbers on Manual</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3876" w:type="dxa"/>
            <w:gridSpan w:val="3"/>
            <w:tcBorders/>
          </w:tcPr>
          <w:p>
            <w:pPr>
              <w:pStyle w:val="Normal"/>
              <w:rPr>
                <w:rFonts w:ascii="Arial" w:hAnsi="Arial" w:cs="Arial"/>
                <w:color w:val="000000"/>
                <w:lang w:eastAsia="en-US"/>
              </w:rPr>
            </w:pPr>
            <w:r>
              <w:rPr>
                <w:rFonts w:cs="Arial" w:ascii="Arial" w:hAnsi="Arial"/>
                <w:color w:val="000000"/>
                <w:lang w:eastAsia="en-US"/>
              </w:rPr>
              <w:t>***Station Services Approximately 6%</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7363" w:type="dxa"/>
            <w:gridSpan w:val="6"/>
            <w:tcBorders/>
          </w:tcPr>
          <w:p>
            <w:pPr>
              <w:pStyle w:val="Normal"/>
              <w:rPr>
                <w:rFonts w:ascii="Arial" w:hAnsi="Arial" w:cs="Arial"/>
                <w:b/>
                <w:color w:val="FF0000"/>
                <w:lang w:eastAsia="en-US"/>
              </w:rPr>
            </w:pPr>
            <w:r>
              <w:rPr>
                <w:rFonts w:eastAsia="Arial" w:cs="Arial" w:ascii="Arial" w:hAnsi="Arial"/>
                <w:b/>
                <w:color w:val="FF0000"/>
                <w:lang w:eastAsia="en-US"/>
              </w:rPr>
              <w:t xml:space="preserve">      </w:t>
            </w:r>
            <w:r>
              <w:rPr>
                <w:rFonts w:cs="Arial" w:ascii="Arial" w:hAnsi="Arial"/>
                <w:b/>
                <w:color w:val="FF0000"/>
                <w:lang w:eastAsia="en-US"/>
              </w:rPr>
              <w:t>When taking a unit to zero it is important to take out Station Services for that unit</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tcPr>
          <w:p>
            <w:pPr>
              <w:pStyle w:val="Normal"/>
              <w:rPr>
                <w:rFonts w:ascii="Arial" w:hAnsi="Arial" w:cs="Arial"/>
                <w:color w:val="000000"/>
                <w:lang w:eastAsia="en-US"/>
              </w:rPr>
            </w:pPr>
            <w:r>
              <w:rPr>
                <w:rFonts w:cs="Arial" w:ascii="Arial" w:hAnsi="Arial"/>
                <w:color w:val="000000"/>
                <w:lang w:eastAsia="en-US"/>
              </w:rPr>
              <w:t>Sample</w:t>
            </w:r>
          </w:p>
        </w:tc>
        <w:tc>
          <w:tcPr>
            <w:tcW w:w="15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6070" w:type="dxa"/>
            <w:gridSpan w:val="5"/>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RG 7 entitlement = 0.25 * 70MW * ((48-3)/50) = 15.75 or  16 MW rounded.</w:t>
            </w:r>
          </w:p>
        </w:tc>
        <w:tc>
          <w:tcPr>
            <w:tcW w:w="0" w:type="dxa"/>
            <w:vMerge w:val="continue"/>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op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6070" w:type="dxa"/>
            <w:gridSpan w:val="5"/>
            <w:tcBorders>
              <w:start w:val="single" w:sz="6" w:space="0" w:color="000000"/>
            </w:tcBorders>
          </w:tcPr>
          <w:p>
            <w:pPr>
              <w:pStyle w:val="Normal"/>
              <w:rPr>
                <w:rFonts w:ascii="Arial" w:hAnsi="Arial" w:cs="Arial"/>
                <w:color w:val="000000"/>
                <w:lang w:eastAsia="en-US"/>
              </w:rPr>
            </w:pPr>
            <w:r>
              <w:rPr>
                <w:rFonts w:cs="Arial" w:ascii="Arial" w:hAnsi="Arial"/>
                <w:color w:val="000000"/>
                <w:lang w:eastAsia="en-US"/>
              </w:rPr>
              <w:t>RG 8 entitlement = 0.75 * 70 MW * ((100-5)/150) = 33.25 or 33 MW rounded.</w:t>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33"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2710" w:type="dxa"/>
            <w:gridSpan w:val="2"/>
            <w:tcBorders>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Total of 49 MW's</w:t>
            </w:r>
          </w:p>
        </w:tc>
        <w:tc>
          <w:tcPr>
            <w:tcW w:w="0" w:type="dxa"/>
            <w:vMerge w:val="continue"/>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66"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93" w:type="dxa"/>
            <w:tcBorders>
              <w:bottom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BodyText"/>
        <w:rPr/>
      </w:pPr>
      <w:r>
        <w:rPr/>
      </w:r>
    </w:p>
    <w:p>
      <w:pPr>
        <w:pStyle w:val="BodyText"/>
        <w:rPr/>
      </w:pPr>
      <w:r>
        <w:rPr/>
      </w:r>
    </w:p>
    <w:p>
      <w:pPr>
        <w:pStyle w:val="BodyText"/>
        <w:rPr/>
      </w:pPr>
      <w:r>
        <w:rPr/>
        <w:t>BORDER STEEL –</w:t>
      </w:r>
    </w:p>
    <w:p>
      <w:pPr>
        <w:pStyle w:val="BodyText"/>
        <w:rPr/>
      </w:pPr>
      <w:r>
        <w:rPr/>
      </w:r>
    </w:p>
    <w:p>
      <w:pPr>
        <w:pStyle w:val="BodyText"/>
        <w:rPr/>
      </w:pPr>
      <w:r>
        <w:rPr/>
        <w:t xml:space="preserve">This company can take up to 30 Mw of firm energy on a real time basis. </w:t>
      </w:r>
    </w:p>
    <w:p>
      <w:pPr>
        <w:pStyle w:val="BodyText"/>
        <w:rPr/>
      </w:pPr>
      <w:r>
        <w:rPr/>
      </w:r>
    </w:p>
    <w:p>
      <w:pPr>
        <w:pStyle w:val="BodyText"/>
        <w:rPr/>
      </w:pPr>
      <w:r>
        <w:rPr/>
        <w:t>TEXAS NEW MEXICO POWER –</w:t>
      </w:r>
    </w:p>
    <w:p>
      <w:pPr>
        <w:pStyle w:val="BodyText"/>
        <w:rPr/>
      </w:pPr>
      <w:r>
        <w:rPr/>
      </w:r>
    </w:p>
    <w:p>
      <w:pPr>
        <w:pStyle w:val="BodyText"/>
        <w:rPr/>
      </w:pPr>
      <w:r>
        <w:rPr/>
        <w:t xml:space="preserve">TNP can take up to 25Mw of firm power on an hour ahead basis. </w:t>
      </w:r>
    </w:p>
    <w:p>
      <w:pPr>
        <w:pStyle w:val="BodyText"/>
        <w:rPr/>
      </w:pPr>
      <w:r>
        <w:rPr/>
      </w:r>
    </w:p>
    <w:p>
      <w:pPr>
        <w:pStyle w:val="BodyText"/>
        <w:rPr/>
      </w:pPr>
      <w:r>
        <w:rPr/>
        <w:t>TNP frequently will request to purchase additional energy at the Hidalgo tie point with El Paso. Sales at this point require an OASIS request from El Paso Transmission and will add $6.00 to the sale price. When possible sell to TNP at Four Corners or other tie points where TNP can purchase less expansive transmission.</w:t>
      </w:r>
    </w:p>
    <w:p>
      <w:pPr>
        <w:pStyle w:val="BodyText"/>
        <w:rPr/>
      </w:pPr>
      <w:r>
        <w:rPr/>
      </w:r>
    </w:p>
    <w:p>
      <w:pPr>
        <w:pStyle w:val="BodyText"/>
        <w:rPr>
          <w:b/>
        </w:rPr>
      </w:pPr>
      <w:r>
        <w:rPr>
          <w:b/>
        </w:rPr>
        <w:t>Emergency or off normal procedures:</w:t>
      </w:r>
    </w:p>
    <w:p>
      <w:pPr>
        <w:pStyle w:val="BodyText"/>
        <w:rPr>
          <w:b/>
        </w:rPr>
      </w:pPr>
      <w:r>
        <w:rPr>
          <w:b/>
        </w:rPr>
      </w:r>
    </w:p>
    <w:p>
      <w:pPr>
        <w:pStyle w:val="BodyText"/>
        <w:rPr/>
      </w:pPr>
      <w:r>
        <w:rPr/>
        <w:t>Integration of power purchase/sale within the current trading hour. Remember it takes at least 10 minutes to ramp power in or out for an integration schedule.</w:t>
      </w:r>
    </w:p>
    <w:p>
      <w:pPr>
        <w:pStyle w:val="BodyText"/>
        <w:rPr/>
      </w:pPr>
      <w:r>
        <w:rPr/>
      </w:r>
    </w:p>
    <w:p>
      <w:pPr>
        <w:pStyle w:val="BodyText"/>
        <w:rPr/>
      </w:pPr>
      <w:r>
        <w:rPr/>
        <w:t xml:space="preserve">If power needs to be bought during the hour divide the volume needed by the amount of time remaining in the hour. Example need 50Mw integrated for the hour. It is currently 1620 hrs. How much do we need to purchase? </w:t>
      </w:r>
    </w:p>
    <w:p>
      <w:pPr>
        <w:pStyle w:val="BodyText"/>
        <w:rPr/>
      </w:pPr>
      <w:r>
        <w:rPr/>
      </w:r>
    </w:p>
    <w:p>
      <w:pPr>
        <w:pStyle w:val="BodyText"/>
        <w:rPr/>
      </w:pPr>
      <w:r>
        <w:rPr/>
        <w:t>50Mw /.5hr remaining = 100Mw</w:t>
      </w:r>
    </w:p>
    <w:p>
      <w:pPr>
        <w:pStyle w:val="BodyText"/>
        <w:rPr/>
      </w:pPr>
      <w:r>
        <w:rPr/>
      </w:r>
    </w:p>
    <w:p>
      <w:pPr>
        <w:pStyle w:val="BodyText"/>
        <w:rPr/>
      </w:pPr>
      <w:r>
        <w:rPr/>
        <w:t xml:space="preserve">It is 0105 and power needs to be sold for the hour your in. You need to sell at least 75mw. How much do you need to sell. </w:t>
      </w:r>
    </w:p>
    <w:p>
      <w:pPr>
        <w:pStyle w:val="BodyText"/>
        <w:rPr/>
      </w:pPr>
      <w:r>
        <w:rPr/>
      </w:r>
    </w:p>
    <w:p>
      <w:pPr>
        <w:pStyle w:val="BodyText"/>
        <w:rPr/>
      </w:pPr>
      <w:r>
        <w:rPr/>
        <w:t>75Mw x .75 hour remaining = 56 Mw</w:t>
      </w:r>
    </w:p>
    <w:p>
      <w:pPr>
        <w:pStyle w:val="BodyText"/>
        <w:rPr/>
      </w:pPr>
      <w:r>
        <w:rPr/>
      </w:r>
    </w:p>
    <w:p>
      <w:pPr>
        <w:pStyle w:val="BodyText"/>
        <w:rPr/>
      </w:pPr>
      <w:r>
        <w:rPr/>
        <w:t>Lost transmission Line –</w:t>
      </w:r>
    </w:p>
    <w:p>
      <w:pPr>
        <w:pStyle w:val="BodyText"/>
        <w:rPr/>
      </w:pPr>
      <w:r>
        <w:rPr/>
      </w:r>
    </w:p>
    <w:p>
      <w:pPr>
        <w:pStyle w:val="BodyText"/>
        <w:rPr/>
      </w:pPr>
      <w:r>
        <w:rPr/>
        <w:t xml:space="preserve">The dispatcher tells you that he has lost the Greenlee to Luna line and there is no ETR. This limits you import capabilities for Palo Verde and Four Corners. </w:t>
      </w:r>
    </w:p>
    <w:p>
      <w:pPr>
        <w:pStyle w:val="BodyText"/>
        <w:rPr/>
      </w:pPr>
      <w:r>
        <w:rPr/>
      </w:r>
    </w:p>
    <w:p>
      <w:pPr>
        <w:pStyle w:val="BodyText"/>
        <w:rPr/>
      </w:pPr>
      <w:r>
        <w:rPr/>
        <w:t xml:space="preserve">This scenario forces the marketer to sell off the remote generation due to import limitations on the tie lines. If too much energy is brought in the on remaining two import lines the West Mesa and Springville lines could become will overloaded and also trip. </w:t>
      </w:r>
    </w:p>
    <w:p>
      <w:pPr>
        <w:pStyle w:val="BodyText"/>
        <w:rPr/>
      </w:pPr>
      <w:r>
        <w:rPr/>
      </w:r>
    </w:p>
    <w:p>
      <w:pPr>
        <w:pStyle w:val="BodyText"/>
        <w:rPr/>
      </w:pPr>
      <w:r>
        <w:rPr/>
        <w:t xml:space="preserve">To cover native load the marketer can buy additional power across the Artesia tie and run the local generation to maximum. </w:t>
      </w:r>
    </w:p>
    <w:p>
      <w:pPr>
        <w:pStyle w:val="BodyText"/>
        <w:rPr/>
      </w:pPr>
      <w:r>
        <w:rPr/>
      </w:r>
    </w:p>
    <w:p>
      <w:pPr>
        <w:pStyle w:val="BodyText"/>
        <w:rPr/>
      </w:pPr>
      <w:r>
        <w:rPr/>
        <w:t>The import limit with one of the 3 tie lines out is 313 Mw. The following example determines the amount of sales needed from external generation with the loss of one transmission line.</w:t>
      </w:r>
    </w:p>
    <w:p>
      <w:pPr>
        <w:pStyle w:val="BodyText"/>
        <w:rPr/>
      </w:pPr>
      <w:r>
        <w:rPr/>
      </w:r>
    </w:p>
    <w:p>
      <w:pPr>
        <w:pStyle w:val="BodyText"/>
        <w:rPr/>
      </w:pPr>
      <w:r>
        <w:rPr/>
        <w:t xml:space="preserve">Palo Verde      600Mw </w:t>
      </w:r>
    </w:p>
    <w:p>
      <w:pPr>
        <w:pStyle w:val="BodyText"/>
        <w:rPr/>
      </w:pPr>
      <w:r>
        <w:rPr/>
        <w:t>Four Corners  104Mw</w:t>
      </w:r>
    </w:p>
    <w:p>
      <w:pPr>
        <w:pStyle w:val="BodyText"/>
        <w:rPr/>
      </w:pPr>
      <w:r>
        <w:rPr/>
      </w:r>
    </w:p>
    <w:p>
      <w:pPr>
        <w:pStyle w:val="BodyText"/>
        <w:pBdr>
          <w:bottom w:val="single" w:sz="4" w:space="1" w:color="000000"/>
        </w:pBdr>
        <w:rPr/>
      </w:pPr>
      <w:r>
        <w:rPr/>
        <w:t xml:space="preserve">Total                704Mw </w:t>
      </w:r>
    </w:p>
    <w:p>
      <w:pPr>
        <w:pStyle w:val="BodyText"/>
        <w:rPr/>
      </w:pPr>
      <w:r>
        <w:rPr/>
      </w:r>
    </w:p>
    <w:p>
      <w:pPr>
        <w:pStyle w:val="BodyText"/>
        <w:rPr/>
      </w:pPr>
      <w:r>
        <w:rPr/>
        <w:t xml:space="preserve">Less Import     </w:t>
      </w:r>
    </w:p>
    <w:p>
      <w:pPr>
        <w:pStyle w:val="BodyText"/>
        <w:rPr/>
      </w:pPr>
      <w:r>
        <w:rPr/>
        <w:t>Maximum       - 313Mw</w:t>
      </w:r>
    </w:p>
    <w:p>
      <w:pPr>
        <w:pStyle w:val="BodyText"/>
        <w:rPr/>
      </w:pPr>
      <w:r>
        <w:rPr/>
      </w:r>
    </w:p>
    <w:p>
      <w:pPr>
        <w:pStyle w:val="BodyText"/>
        <w:rPr/>
      </w:pPr>
      <w:r>
        <w:rPr/>
        <w:t>Excess Gen.       391Mw</w:t>
      </w:r>
    </w:p>
    <w:p>
      <w:pPr>
        <w:pStyle w:val="BodyText"/>
        <w:rPr/>
      </w:pPr>
      <w:r>
        <w:rPr/>
        <w:t>IID @              - 100 Mw</w:t>
      </w:r>
    </w:p>
    <w:p>
      <w:pPr>
        <w:pStyle w:val="BodyText"/>
        <w:pBdr>
          <w:bottom w:val="single" w:sz="4" w:space="1" w:color="000000"/>
        </w:pBdr>
        <w:rPr/>
      </w:pPr>
      <w:r>
        <w:rPr/>
        <w:t>CALPX Sch.   - 110 Mw</w:t>
      </w:r>
    </w:p>
    <w:p>
      <w:pPr>
        <w:pStyle w:val="BodyText"/>
        <w:rPr/>
      </w:pPr>
      <w:r>
        <w:rPr/>
        <w:t>Required Sales   181Mw</w:t>
      </w:r>
    </w:p>
    <w:p>
      <w:pPr>
        <w:pStyle w:val="BodyText"/>
        <w:rPr/>
      </w:pPr>
      <w:r>
        <w:rPr/>
      </w:r>
    </w:p>
    <w:p>
      <w:pPr>
        <w:pStyle w:val="BodyText"/>
        <w:rPr/>
      </w:pPr>
      <w:r>
        <w:rPr/>
        <w:t>Generation loss –</w:t>
      </w:r>
    </w:p>
    <w:p>
      <w:pPr>
        <w:pStyle w:val="BodyText"/>
        <w:rPr/>
      </w:pPr>
      <w:r>
        <w:rPr/>
      </w:r>
    </w:p>
    <w:p>
      <w:pPr>
        <w:pStyle w:val="BodyText"/>
        <w:rPr/>
      </w:pPr>
      <w:r>
        <w:rPr/>
        <w:t>Example:</w:t>
      </w:r>
    </w:p>
    <w:p>
      <w:pPr>
        <w:pStyle w:val="BodyText"/>
        <w:rPr/>
      </w:pPr>
      <w:r>
        <w:rPr/>
        <w:t xml:space="preserve">It’s 1815 hours on June 18 system load is 1250 Mw and Palo Verde unit one suddenly trips. El Paso’s system has now lost 200 Mw of firm energy with no ETR. Also, the surrounding Southwest is now short 1200 Mw of generation. Buy immediately from across the Artesia tie and any available energy from other utilities. Start the Copper unit. </w:t>
      </w:r>
    </w:p>
    <w:p>
      <w:pPr>
        <w:pStyle w:val="BodyText"/>
        <w:rPr/>
      </w:pPr>
      <w:r>
        <w:rPr/>
      </w:r>
    </w:p>
    <w:p>
      <w:pPr>
        <w:pStyle w:val="BodyText"/>
        <w:rPr/>
      </w:pPr>
      <w:r>
        <w:rPr/>
        <w:t xml:space="preserve">Most likely the dispatchers will declare an emergency and request assistance from their neighboring utilities. </w:t>
      </w:r>
    </w:p>
    <w:p>
      <w:pPr>
        <w:pStyle w:val="BodyText"/>
        <w:rPr/>
      </w:pPr>
      <w:r>
        <w:rPr/>
      </w:r>
    </w:p>
    <w:p>
      <w:pPr>
        <w:pStyle w:val="BodyText"/>
        <w:rPr/>
      </w:pPr>
      <w:r>
        <w:rPr/>
        <w:t>Schedule cuts –</w:t>
      </w:r>
    </w:p>
    <w:p>
      <w:pPr>
        <w:pStyle w:val="BodyText"/>
        <w:rPr/>
      </w:pPr>
      <w:r>
        <w:rPr/>
      </w:r>
    </w:p>
    <w:p>
      <w:pPr>
        <w:pStyle w:val="BodyText"/>
        <w:rPr/>
      </w:pPr>
      <w:r>
        <w:rPr/>
        <w:t xml:space="preserve">Enron serves as El Paso’s Schedule Coordinator for the CALPX and CISO. </w:t>
      </w:r>
    </w:p>
    <w:p>
      <w:pPr>
        <w:pStyle w:val="BodyText"/>
        <w:rPr/>
      </w:pPr>
      <w:r>
        <w:rPr/>
      </w:r>
    </w:p>
    <w:p>
      <w:pPr>
        <w:pStyle w:val="BodyText"/>
        <w:rPr/>
      </w:pPr>
      <w:r>
        <w:rPr/>
        <w:t xml:space="preserve"> </w:t>
      </w:r>
      <w:r>
        <w:rPr/>
        <w:t xml:space="preserve">If schedules that Enron serves as SC are curtailed in the Hour Ahead market communicate this to the El Paso marketers if during the day and they will determine whether to remarket or reduce generation. If the cut occurs Real Time and the El Paso marketers have the phone follow the above direction. </w:t>
      </w:r>
    </w:p>
    <w:p>
      <w:pPr>
        <w:pStyle w:val="BodyText"/>
        <w:rPr/>
      </w:pPr>
      <w:r>
        <w:rPr/>
        <w:t>If the cut occurs Real Time and Enron is marketing for El Paso reduce generation or sell within the hour if the Mw amount is significant and prices are strong.</w:t>
      </w:r>
    </w:p>
    <w:p>
      <w:pPr>
        <w:pStyle w:val="BodyText"/>
        <w:rPr/>
      </w:pPr>
      <w:r>
        <w:rPr/>
      </w:r>
    </w:p>
    <w:p>
      <w:pPr>
        <w:pStyle w:val="BodyText"/>
        <w:rPr>
          <w:b/>
        </w:rPr>
      </w:pPr>
      <w:r>
        <w:rPr>
          <w:b/>
        </w:rPr>
        <w:t>Administrative Duties:</w:t>
      </w:r>
    </w:p>
    <w:p>
      <w:pPr>
        <w:pStyle w:val="BodyText"/>
        <w:rPr>
          <w:b/>
        </w:rPr>
      </w:pPr>
      <w:r>
        <w:rPr>
          <w:b/>
        </w:rPr>
      </w:r>
    </w:p>
    <w:p>
      <w:pPr>
        <w:pStyle w:val="BodyText"/>
        <w:rPr/>
      </w:pPr>
      <w:r>
        <w:rPr/>
        <w:t>Building the El Paso model for the next day.</w:t>
      </w:r>
    </w:p>
    <w:p>
      <w:pPr>
        <w:pStyle w:val="BodyText"/>
        <w:rPr/>
      </w:pPr>
      <w:r>
        <w:rPr/>
      </w:r>
    </w:p>
    <w:p>
      <w:pPr>
        <w:pStyle w:val="BodyText"/>
        <w:rPr/>
      </w:pPr>
      <w:r>
        <w:rPr/>
        <w:t>Go to M: Electric/Epe/Epe2000/march/03_24(current date).</w:t>
      </w:r>
    </w:p>
    <w:p>
      <w:pPr>
        <w:pStyle w:val="BodyText"/>
        <w:rPr/>
      </w:pPr>
      <w:r>
        <w:rPr/>
      </w:r>
    </w:p>
    <w:p>
      <w:pPr>
        <w:pStyle w:val="BodyText"/>
        <w:rPr/>
      </w:pPr>
      <w:r>
        <w:rPr/>
        <w:t xml:space="preserve">Use File tab and select Save As and change date to 03_25.(current date). </w:t>
      </w:r>
    </w:p>
    <w:p>
      <w:pPr>
        <w:pStyle w:val="BodyText"/>
        <w:rPr/>
      </w:pPr>
      <w:r>
        <w:rPr/>
        <w:t>Enter the correct CALPX preschedules for Palo Verde and Four Corners from the California Schedulers packet. Verify the tag matches the cover sheet before loading into the model. Also, check for wrap around schedules with the CALPX. Ensure the TMM multiplier is set to 1x.25. The price entered into the model should be the CALPX price minus .25.</w:t>
      </w:r>
    </w:p>
    <w:p>
      <w:pPr>
        <w:pStyle w:val="BodyText"/>
        <w:rPr/>
      </w:pPr>
      <w:r>
        <w:rPr/>
      </w:r>
    </w:p>
    <w:p>
      <w:pPr>
        <w:pStyle w:val="BodyText"/>
        <w:rPr/>
      </w:pPr>
      <w:r>
        <w:rPr/>
        <w:t>Enter the CALPX day ahead prices in the columns at the bottom of the model sheet. Ensure these are the correct prices. Incorrect prices are the most common cause of errors that must be corrected with El Paso’s settlements group.</w:t>
      </w:r>
    </w:p>
    <w:p>
      <w:pPr>
        <w:pStyle w:val="BodyText"/>
        <w:rPr/>
      </w:pPr>
      <w:r>
        <w:rPr/>
      </w:r>
    </w:p>
    <w:p>
      <w:pPr>
        <w:pStyle w:val="BodyText"/>
        <w:rPr/>
      </w:pPr>
      <w:r>
        <w:rPr/>
        <w:t>Enter the correct Bi-Lateral deals from the Southwest scheduler’s sheet.</w:t>
      </w:r>
    </w:p>
    <w:p>
      <w:pPr>
        <w:pStyle w:val="BodyText"/>
        <w:rPr/>
      </w:pPr>
      <w:r>
        <w:rPr/>
      </w:r>
    </w:p>
    <w:p>
      <w:pPr>
        <w:pStyle w:val="BodyText"/>
        <w:rPr/>
      </w:pPr>
      <w:r>
        <w:rPr/>
      </w:r>
    </w:p>
    <w:p>
      <w:pPr>
        <w:pStyle w:val="BodyText"/>
        <w:rPr/>
      </w:pPr>
      <w:r>
        <w:rPr/>
      </w:r>
    </w:p>
    <w:p>
      <w:pPr>
        <w:pStyle w:val="BodyText"/>
        <w:rPr/>
      </w:pPr>
      <w:r>
        <w:rPr/>
        <w:t xml:space="preserve">From the Unit Commitment sheet provided by El Paso copy the </w:t>
      </w:r>
      <w:r>
        <w:rPr>
          <w:b/>
        </w:rPr>
        <w:t>load</w:t>
      </w:r>
      <w:r>
        <w:rPr/>
        <w:t xml:space="preserve"> data into the model being built. </w:t>
      </w:r>
    </w:p>
    <w:p>
      <w:pPr>
        <w:pStyle w:val="BodyText"/>
        <w:rPr/>
      </w:pPr>
      <w:r>
        <w:rPr/>
      </w:r>
    </w:p>
    <w:p>
      <w:pPr>
        <w:pStyle w:val="BodyText"/>
        <w:rPr>
          <w:b/>
        </w:rPr>
      </w:pPr>
      <w:r>
        <w:rPr>
          <w:b/>
        </w:rPr>
        <w:t>Checking out the day.</w:t>
      </w:r>
    </w:p>
    <w:p>
      <w:pPr>
        <w:pStyle w:val="BodyText"/>
        <w:rPr>
          <w:b/>
        </w:rPr>
      </w:pPr>
      <w:r>
        <w:rPr>
          <w:b/>
        </w:rPr>
      </w:r>
    </w:p>
    <w:p>
      <w:pPr>
        <w:pStyle w:val="BodyText"/>
        <w:rPr/>
      </w:pPr>
      <w:r>
        <w:rPr/>
        <w:t>To complete the day check with counterparties the totals and prices of the days transactions. These include:</w:t>
      </w:r>
    </w:p>
    <w:p>
      <w:pPr>
        <w:pStyle w:val="BodyText"/>
        <w:rPr/>
      </w:pPr>
      <w:r>
        <w:rPr/>
      </w:r>
    </w:p>
    <w:p>
      <w:pPr>
        <w:pStyle w:val="BodyText"/>
        <w:rPr/>
      </w:pPr>
      <w:r>
        <w:rPr/>
        <w:t>IID hourly schedules</w:t>
      </w:r>
    </w:p>
    <w:p>
      <w:pPr>
        <w:pStyle w:val="BodyText"/>
        <w:rPr/>
      </w:pPr>
      <w:r>
        <w:rPr/>
        <w:t>PNM Contingent</w:t>
      </w:r>
    </w:p>
    <w:p>
      <w:pPr>
        <w:pStyle w:val="BodyText"/>
        <w:rPr/>
      </w:pPr>
      <w:r>
        <w:rPr/>
        <w:t xml:space="preserve">TNP Firm </w:t>
      </w:r>
    </w:p>
    <w:p>
      <w:pPr>
        <w:pStyle w:val="BodyText"/>
        <w:rPr/>
      </w:pPr>
      <w:r>
        <w:rPr/>
        <w:t>Real Time deals</w:t>
      </w:r>
    </w:p>
    <w:p>
      <w:pPr>
        <w:pStyle w:val="BodyText"/>
        <w:rPr/>
      </w:pPr>
      <w:r>
        <w:rPr/>
        <w:t>Preschedule totals at the Tie points.</w:t>
      </w:r>
    </w:p>
    <w:p>
      <w:pPr>
        <w:pStyle w:val="BodyText"/>
        <w:rPr/>
      </w:pPr>
      <w:r>
        <w:rPr/>
      </w:r>
    </w:p>
    <w:p>
      <w:pPr>
        <w:pStyle w:val="BodyText"/>
        <w:rPr/>
      </w:pPr>
      <w:r>
        <w:rPr/>
        <w:t>Run the SAR/CARP reports. This can be found in the Enpower Reports section. Set the dates to the previous day and counterparty to ELPASELECOM. Use MST for the time zone. Compare these reports totals to the Deals section of the El Paso model totals. Both Mw’s and Dollar amounts should balance. Verify each hour has prices.</w:t>
      </w:r>
    </w:p>
    <w:p>
      <w:pPr>
        <w:pStyle w:val="BodyText"/>
        <w:rPr/>
      </w:pPr>
      <w:r>
        <w:rPr/>
      </w:r>
    </w:p>
    <w:p>
      <w:pPr>
        <w:pStyle w:val="BodyText"/>
        <w:rPr/>
      </w:pPr>
      <w:r>
        <w:rPr/>
        <w:t xml:space="preserve">Send the completed Model to </w:t>
      </w:r>
      <w:hyperlink r:id="rId3">
        <w:r>
          <w:rPr>
            <w:rStyle w:val="Hyperlink"/>
          </w:rPr>
          <w:t>Kpeterso@epelectric.com</w:t>
        </w:r>
      </w:hyperlink>
      <w:r>
        <w:rPr>
          <w:color w:val="0000FF"/>
        </w:rPr>
        <w:t>,Rhawki1@epelectric.com.</w:t>
      </w:r>
    </w:p>
    <w:p>
      <w:pPr>
        <w:pStyle w:val="BodyText"/>
        <w:rPr/>
      </w:pPr>
      <w:r>
        <w:rPr/>
      </w:r>
    </w:p>
    <w:p>
      <w:pPr>
        <w:pStyle w:val="BodyText"/>
        <w:rPr/>
      </w:pPr>
      <w:r>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t>Deal Capture -</w:t>
      </w:r>
    </w:p>
    <w:p>
      <w:pPr>
        <w:pStyle w:val="BodyText"/>
        <w:rPr>
          <w:b/>
        </w:rPr>
      </w:pPr>
      <w:r>
        <w:rPr>
          <w:b/>
        </w:rPr>
      </w:r>
    </w:p>
    <w:p>
      <w:pPr>
        <w:pStyle w:val="BodyText"/>
        <w:rPr/>
      </w:pPr>
      <w:r>
        <w:rPr/>
        <w:t xml:space="preserve">When entering El Paso deals in Enpower use EPEC as the group. Also, prices should be the same on the buy and sell transactions. The exception to this is if transmission is purchased on El Paso’s behalf. In this case reduce El Paso’s sell price by the cost of the transmission. </w:t>
      </w:r>
    </w:p>
    <w:p>
      <w:pPr>
        <w:pStyle w:val="BodyText"/>
        <w:rPr/>
      </w:pPr>
      <w:r>
        <w:rPr/>
      </w:r>
    </w:p>
    <w:p>
      <w:pPr>
        <w:pStyle w:val="BodyText"/>
        <w:rPr/>
      </w:pPr>
      <w:r>
        <w:rPr/>
        <w:t>Enter any deals on the El Paso log sheet.</w:t>
      </w:r>
    </w:p>
    <w:p>
      <w:pPr>
        <w:pStyle w:val="BodyText"/>
        <w:rPr/>
      </w:pPr>
      <w:r>
        <w:rPr/>
      </w:r>
    </w:p>
    <w:p>
      <w:pPr>
        <w:pStyle w:val="BodyText"/>
        <w:rPr/>
      </w:pPr>
      <w:r>
        <w:rPr/>
        <w:t xml:space="preserve">In the model go to the Deals tab. Click on a row in the real time area then click on the </w:t>
      </w:r>
      <w:r>
        <w:rPr>
          <w:b/>
        </w:rPr>
        <w:t>add a row tab</w:t>
      </w:r>
      <w:r>
        <w:rPr/>
        <w:t xml:space="preserve"> and enter the requested information. Tie points must be either PV, 4C or Hidalgo. </w:t>
      </w:r>
    </w:p>
    <w:p>
      <w:pPr>
        <w:pStyle w:val="BodyText"/>
        <w:rPr>
          <w:b/>
        </w:rPr>
      </w:pPr>
      <w:r>
        <w:rPr>
          <w:b/>
        </w:rPr>
      </w:r>
    </w:p>
    <w:p>
      <w:pPr>
        <w:pStyle w:val="BodyText"/>
        <w:rPr>
          <w:b/>
        </w:rPr>
      </w:pPr>
      <w:r>
        <w:rPr>
          <w:b/>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rPr>
          <w:sz w:val="28"/>
        </w:rPr>
      </w:pPr>
      <w:r>
        <w:rPr>
          <w:sz w:val="28"/>
        </w:rPr>
      </w:r>
    </w:p>
    <w:p>
      <w:pPr>
        <w:pStyle w:val="Normal"/>
        <w:rPr>
          <w:sz w:val="28"/>
        </w:rPr>
      </w:pPr>
      <w:r>
        <w:rPr>
          <w:sz w:val="28"/>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8"/>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tect.ect.enron.com/genstat/epe/status/recent.csv" TargetMode="External"/><Relationship Id="rId3" Type="http://schemas.openxmlformats.org/officeDocument/2006/relationships/hyperlink" Target="mailto:Kpeterso@epelectric.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2000-03-19T17:14:00Z</dcterms:created>
  <dc:creator>s_mcrouch</dc:creator>
  <dc:description/>
  <dc:language>en-CA</dc:language>
  <cp:lastModifiedBy>lrawson</cp:lastModifiedBy>
  <cp:lastPrinted>2000-04-19T12:55:00Z</cp:lastPrinted>
  <dcterms:modified xsi:type="dcterms:W3CDTF">2000-05-14T14:09:00Z</dcterms:modified>
  <cp:revision>34</cp:revision>
  <dc:subject/>
  <dc:title>3/3/2000</dc:title>
</cp:coreProperties>
</file>