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b/>
        </w:rPr>
        <w:t>ENRON LNG MARKETING LLC TAX TRADING GUIDELINES</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TO PRICE LNG TRADES /AVOID IMMEDIATE U.S. TAXATION THEREON</w:t>
      </w:r>
    </w:p>
    <w:p>
      <w:pPr>
        <w:pStyle w:val="Normal"/>
        <w:jc w:val="center"/>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The following general guidelines are for use in pricing your LNG transactions and minimizing the exposure of LNG trades entered into by Enron LNG Marketing LLC (“ELNG”) to immediate United States federal income taxation.  Please note that each of the subpart F income categories set forth below must be addressed to avoid current U.S. taxation.   The failure to satisfy any of these categories will expose part or all of a LNG trading transaction of ELNG to current U.S. taxation.   Please also note that these guidelines do not apply to shipping activities and do not address sales of business assets, local country taxation (e.g. Korea) or U.S. deliveries which in certain limited circumstances might, but often won’t, avoid U.S. and state and local taxation.   As the guidelines don’t capture each and every possible transaction, please contact me or other members of the ENA Tax Department for assistance or help with questions you may have about your transaction.</w:t>
      </w:r>
    </w:p>
    <w:p>
      <w:pPr>
        <w:pStyle w:val="Normal"/>
        <w:rPr>
          <w:rFonts w:ascii="Arial" w:hAnsi="Arial" w:cs="Arial"/>
        </w:rPr>
      </w:pPr>
      <w:r>
        <w:rPr>
          <w:rFonts w:cs="Arial" w:ascii="Arial" w:hAnsi="Arial"/>
        </w:rPr>
      </w:r>
    </w:p>
    <w:p>
      <w:pPr>
        <w:pStyle w:val="Normal"/>
        <w:rPr/>
      </w:pPr>
      <w:r>
        <w:rPr/>
      </w:r>
    </w:p>
    <w:p>
      <w:pPr>
        <w:pStyle w:val="Normal"/>
        <w:rPr>
          <w:b/>
          <w:u w:val="single"/>
        </w:rPr>
      </w:pPr>
      <w:r>
        <w:rPr>
          <w:b/>
          <w:u w:val="single"/>
        </w:rPr>
        <w:t>A.  Oil Related Income</w:t>
      </w:r>
    </w:p>
    <w:p>
      <w:pPr>
        <w:pStyle w:val="Normal"/>
        <w:rPr/>
      </w:pPr>
      <w:r>
        <w:rPr/>
      </w:r>
    </w:p>
    <w:p>
      <w:pPr>
        <w:pStyle w:val="Normal"/>
        <w:rPr/>
      </w:pPr>
      <w:r>
        <w:rPr/>
        <w:t>ELNG must meet at least one of the following guidelines to avoid subjecting income from the physical sale, distribution, or transportation of LNG to immediate U.S. taxation:</w:t>
      </w:r>
    </w:p>
    <w:p>
      <w:pPr>
        <w:pStyle w:val="Normal"/>
        <w:rPr/>
      </w:pPr>
      <w:r>
        <w:rPr/>
      </w:r>
    </w:p>
    <w:p>
      <w:pPr>
        <w:pStyle w:val="Normal"/>
        <w:numPr>
          <w:ilvl w:val="0"/>
          <w:numId w:val="2"/>
        </w:numPr>
        <w:rPr/>
      </w:pPr>
      <w:r>
        <w:rPr/>
        <w:t>The LNG is derived from gas extracted originally from a well located in the same country in which it is sold.</w:t>
      </w:r>
    </w:p>
    <w:p>
      <w:pPr>
        <w:pStyle w:val="Normal"/>
        <w:numPr>
          <w:ilvl w:val="0"/>
          <w:numId w:val="2"/>
        </w:numPr>
        <w:rPr/>
      </w:pPr>
      <w:r>
        <w:rPr/>
        <w:t>ELNG sells the LNG or the regassified LNG for use or consumption in the country of sale.</w:t>
      </w:r>
    </w:p>
    <w:p>
      <w:pPr>
        <w:pStyle w:val="Normal"/>
        <w:numPr>
          <w:ilvl w:val="0"/>
          <w:numId w:val="2"/>
        </w:numPr>
        <w:rPr/>
      </w:pPr>
      <w:r>
        <w:rPr/>
        <w:t>The LNG or gas therefrom is loaded on a vessel or aircraft as its fuel in the same country in which it is sold.</w:t>
      </w:r>
    </w:p>
    <w:p>
      <w:pPr>
        <w:pStyle w:val="Normal"/>
        <w:rPr/>
      </w:pPr>
      <w:r>
        <w:rPr/>
      </w:r>
    </w:p>
    <w:p>
      <w:pPr>
        <w:pStyle w:val="Normal"/>
        <w:rPr/>
      </w:pPr>
      <w:r>
        <w:rPr/>
      </w:r>
    </w:p>
    <w:p>
      <w:pPr>
        <w:pStyle w:val="Normal"/>
        <w:rPr>
          <w:b/>
          <w:u w:val="single"/>
        </w:rPr>
      </w:pPr>
      <w:r>
        <w:rPr>
          <w:b/>
          <w:u w:val="single"/>
        </w:rPr>
        <w:t>B.  Sales Income</w:t>
      </w:r>
    </w:p>
    <w:p>
      <w:pPr>
        <w:pStyle w:val="Normal"/>
        <w:rPr/>
      </w:pPr>
      <w:r>
        <w:rPr/>
      </w:r>
    </w:p>
    <w:p>
      <w:pPr>
        <w:pStyle w:val="Normal"/>
        <w:rPr/>
      </w:pPr>
      <w:r>
        <w:rPr/>
        <w:t xml:space="preserve">ELNG must purchase property from or on behalf of, </w:t>
      </w:r>
      <w:r>
        <w:rPr>
          <w:u w:val="single"/>
        </w:rPr>
        <w:t>and</w:t>
      </w:r>
      <w:r>
        <w:rPr/>
        <w:t xml:space="preserve"> sell such property to or on behalf of unrelated persons.   A greater than 50 percent voting power or value test is generally used for determining if a party is related.   Partnerships have special rules.  Please consult if you are transacting with a partnership.   </w:t>
      </w:r>
    </w:p>
    <w:p>
      <w:pPr>
        <w:pStyle w:val="Normal"/>
        <w:rPr/>
      </w:pPr>
      <w:r>
        <w:rPr/>
      </w:r>
    </w:p>
    <w:p>
      <w:pPr>
        <w:pStyle w:val="Normal"/>
        <w:rPr/>
      </w:pPr>
      <w:r>
        <w:rPr/>
      </w:r>
    </w:p>
    <w:p>
      <w:pPr>
        <w:pStyle w:val="Normal"/>
        <w:rPr>
          <w:b/>
          <w:u w:val="single"/>
        </w:rPr>
      </w:pPr>
      <w:r>
        <w:rPr>
          <w:b/>
          <w:u w:val="single"/>
        </w:rPr>
        <w:t>C.  Services Income</w:t>
      </w:r>
    </w:p>
    <w:p>
      <w:pPr>
        <w:pStyle w:val="Normal"/>
        <w:rPr/>
      </w:pPr>
      <w:r>
        <w:rPr/>
      </w:r>
    </w:p>
    <w:p>
      <w:pPr>
        <w:pStyle w:val="Normal"/>
        <w:rPr/>
      </w:pPr>
      <w:r>
        <w:rPr/>
        <w:t xml:space="preserve">ENLG should not be providing services as part of its activities unless they are integral to the sale, movement, handling or storage of LNG.   If it does such services must be performed for unrelated persons.   Please note that the performance of any services may give rise to local country taxation and may result in Personal Holding Company Income (see below).   This rule also doesn’t apply to shipping income from the use of a vessel.   </w:t>
      </w:r>
    </w:p>
    <w:p>
      <w:pPr>
        <w:pStyle w:val="Normal"/>
        <w:rPr/>
      </w:pPr>
      <w:r>
        <w:rPr/>
      </w:r>
    </w:p>
    <w:p>
      <w:pPr>
        <w:pStyle w:val="Heading1"/>
        <w:ind w:hanging="0" w:start="0"/>
        <w:rPr/>
      </w:pPr>
      <w:r>
        <w:rPr/>
        <w:t>D.  Personal Holding Company Income</w:t>
      </w:r>
    </w:p>
    <w:p>
      <w:pPr>
        <w:pStyle w:val="Normal"/>
        <w:rPr/>
      </w:pPr>
      <w:r>
        <w:rPr/>
      </w:r>
    </w:p>
    <w:p>
      <w:pPr>
        <w:pStyle w:val="Normal"/>
        <w:rPr/>
      </w:pPr>
      <w:r>
        <w:rPr/>
        <w:t>ENLG needs to avoid the receipt of dividends, interest, rents, annuities, foreign currency gains and amounts equivalent to interest in its transactions.   ENLG also needs to be careful to avoid generating more than 15 percent of its taxable income from activities that are not from the movement, handling, storage and trading of LNG or else all of ENLG’s commodity activity income will be subject to current U.S. tax.</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0"/>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Times New Roman" w:hAnsi="Times New Roman" w:cs="Times New Roman"/>
      <w:b w:val="false"/>
      <w:i w:val="false"/>
      <w:sz w:val="20"/>
      <w:u w:val="none"/>
    </w:rPr>
  </w:style>
  <w:style w:type="character" w:styleId="WW8Num2z0">
    <w:name w:val="WW8Num2z0"/>
    <w:qFormat/>
    <w:rPr>
      <w:rFonts w:ascii="Times New Roman" w:hAnsi="Times New Roman" w:cs="Times New Roman"/>
      <w:b w:val="false"/>
      <w:i w:val="false"/>
      <w:sz w:val="20"/>
      <w:u w:val="none"/>
    </w:rPr>
  </w:style>
  <w:style w:type="character" w:styleId="WW8Num3z0">
    <w:name w:val="WW8Num3z0"/>
    <w:qFormat/>
    <w:rPr>
      <w:rFonts w:ascii="Times New Roman" w:hAnsi="Times New Roman" w:cs="Times New Roman"/>
      <w:b w:val="false"/>
      <w:i w:val="false"/>
      <w:sz w:val="20"/>
      <w:u w:val="none"/>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overflowPunct w:val="false"/>
      <w:autoSpaceDE w:val="false"/>
      <w:textAlignment w:val="baseline"/>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2001-04-25T14:18:00Z</dcterms:created>
  <dc:creator>kkrasny</dc:creator>
  <dc:description/>
  <dc:language>en-CA</dc:language>
  <cp:lastModifiedBy>kkrasny</cp:lastModifiedBy>
  <cp:lastPrinted>2001-04-24T18:49:00Z</cp:lastPrinted>
  <dcterms:modified xsi:type="dcterms:W3CDTF">2001-04-25T14:18:00Z</dcterms:modified>
  <cp:revision>2</cp:revision>
  <dc:subject/>
  <dc:title>ENRON LNG MARKETING LLC TAX TRADING GUIDELINES</dc:title>
</cp:coreProperties>
</file>