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sz w:val="20"/>
        </w:rPr>
      </w:pPr>
      <w:r>
        <w:rPr>
          <w:sz w:val="20"/>
        </w:rPr>
        <w:t>ELIZABETH AYERS LAY VITTOR</w:t>
      </w:r>
    </w:p>
    <w:p>
      <w:pPr>
        <w:pStyle w:val="Normal"/>
        <w:jc w:val="center"/>
        <w:rPr>
          <w:sz w:val="20"/>
        </w:rPr>
      </w:pPr>
      <w:r>
        <w:rPr>
          <w:sz w:val="20"/>
        </w:rPr>
        <w:t>Avda. Gral Las Heras 2107*</w:t>
      </w:r>
    </w:p>
    <w:p>
      <w:pPr>
        <w:pStyle w:val="Normal"/>
        <w:jc w:val="center"/>
        <w:rPr>
          <w:sz w:val="20"/>
        </w:rPr>
      </w:pPr>
      <w:r>
        <w:rPr>
          <w:sz w:val="20"/>
        </w:rPr>
        <w:t>Piso 3 “B”</w:t>
      </w:r>
    </w:p>
    <w:p>
      <w:pPr>
        <w:pStyle w:val="Normal"/>
        <w:jc w:val="center"/>
        <w:rPr>
          <w:sz w:val="20"/>
        </w:rPr>
      </w:pPr>
      <w:r>
        <w:rPr>
          <w:sz w:val="20"/>
        </w:rPr>
        <w:t>Buenos Aires (1127)</w:t>
      </w:r>
    </w:p>
    <w:p>
      <w:pPr>
        <w:pStyle w:val="Normal"/>
        <w:jc w:val="center"/>
        <w:rPr>
          <w:sz w:val="20"/>
        </w:rPr>
      </w:pPr>
      <w:r>
        <w:rPr>
          <w:sz w:val="20"/>
        </w:rPr>
        <w:t>Argentina</w:t>
      </w:r>
    </w:p>
    <w:p>
      <w:pPr>
        <w:pStyle w:val="Normal"/>
        <w:jc w:val="center"/>
        <w:rPr>
          <w:sz w:val="20"/>
        </w:rPr>
      </w:pPr>
      <w:r>
        <w:rPr>
          <w:sz w:val="20"/>
        </w:rPr>
        <w:t>Ph: 541 14 803 7819</w:t>
      </w:r>
    </w:p>
    <w:p>
      <w:pPr>
        <w:pStyle w:val="Normal"/>
        <w:jc w:val="center"/>
        <w:rPr>
          <w:sz w:val="20"/>
        </w:rPr>
      </w:pPr>
      <w:r>
        <w:rPr>
          <w:sz w:val="20"/>
        </w:rPr>
        <w:t>Fax: 541 14 803 5138</w:t>
      </w:r>
    </w:p>
    <w:p>
      <w:pPr>
        <w:pStyle w:val="Normal"/>
        <w:jc w:val="center"/>
        <w:rPr>
          <w:sz w:val="20"/>
        </w:rPr>
      </w:pPr>
      <w:r>
        <w:rPr>
          <w:sz w:val="20"/>
        </w:rPr>
        <w:t>US Voicemail: 713 502 8581</w:t>
      </w:r>
    </w:p>
    <w:p>
      <w:pPr>
        <w:pStyle w:val="Normal"/>
        <w:jc w:val="center"/>
        <w:rPr>
          <w:sz w:val="20"/>
        </w:rPr>
      </w:pPr>
      <w:r>
        <w:rPr>
          <w:sz w:val="20"/>
        </w:rPr>
        <w:t>E-mail: EALVittor@aol.com</w:t>
      </w:r>
    </w:p>
    <w:p>
      <w:pPr>
        <w:pStyle w:val="Normal"/>
        <w:pBdr>
          <w:bottom w:val="single" w:sz="12" w:space="1" w:color="000000"/>
        </w:pBdr>
        <w:jc w:val="center"/>
        <w:rPr>
          <w:sz w:val="20"/>
        </w:rPr>
      </w:pPr>
      <w:r>
        <w:rPr>
          <w:sz w:val="20"/>
        </w:rPr>
      </w:r>
    </w:p>
    <w:p>
      <w:pPr>
        <w:pStyle w:val="Normal"/>
        <w:rPr>
          <w:sz w:val="20"/>
        </w:rPr>
      </w:pPr>
      <w:r>
        <w:rPr>
          <w:sz w:val="20"/>
        </w:rPr>
      </w:r>
    </w:p>
    <w:p>
      <w:pPr>
        <w:pStyle w:val="Heading2"/>
        <w:ind w:hanging="0" w:start="0"/>
        <w:jc w:val="center"/>
        <w:rPr>
          <w:sz w:val="24"/>
        </w:rPr>
      </w:pPr>
      <w:r>
        <w:rPr>
          <w:sz w:val="24"/>
        </w:rPr>
        <w:t>Professional Experience</w:t>
      </w:r>
    </w:p>
    <w:p>
      <w:pPr>
        <w:pStyle w:val="Heading3"/>
        <w:ind w:hanging="0" w:start="0"/>
        <w:rPr/>
      </w:pPr>
      <w:r>
        <w:rPr/>
        <w:t>Legal Consultant</w:t>
        <w:tab/>
        <w:tab/>
        <w:tab/>
        <w:tab/>
        <w:tab/>
        <w:tab/>
        <w:t>Buenos Aires, Argentina</w:t>
      </w:r>
    </w:p>
    <w:p>
      <w:pPr>
        <w:pStyle w:val="Heading3"/>
        <w:ind w:hanging="0" w:start="0"/>
        <w:rPr>
          <w:b w:val="false"/>
          <w:bCs w:val="false"/>
          <w:sz w:val="20"/>
        </w:rPr>
      </w:pPr>
      <w:r>
        <w:rPr>
          <w:b w:val="false"/>
          <w:bCs w:val="false"/>
          <w:sz w:val="20"/>
        </w:rPr>
        <w:t>Self-employed</w:t>
        <w:tab/>
        <w:tab/>
        <w:tab/>
        <w:tab/>
        <w:tab/>
        <w:tab/>
        <w:tab/>
        <w:t>December 1999- Present</w:t>
      </w:r>
    </w:p>
    <w:p>
      <w:pPr>
        <w:pStyle w:val="Normal"/>
        <w:numPr>
          <w:ilvl w:val="0"/>
          <w:numId w:val="5"/>
        </w:numPr>
        <w:rPr>
          <w:sz w:val="20"/>
        </w:rPr>
      </w:pPr>
      <w:r>
        <w:rPr>
          <w:sz w:val="20"/>
        </w:rPr>
        <w:t>Provided basic legal assistance on a for real estate transactions</w:t>
      </w:r>
    </w:p>
    <w:p>
      <w:pPr>
        <w:pStyle w:val="Normal"/>
        <w:numPr>
          <w:ilvl w:val="0"/>
          <w:numId w:val="5"/>
        </w:numPr>
        <w:rPr>
          <w:sz w:val="20"/>
        </w:rPr>
      </w:pPr>
      <w:r>
        <w:rPr>
          <w:sz w:val="20"/>
        </w:rPr>
        <w:t>Consulted on electricity and water regulatory issues in the United States and Argentina</w:t>
      </w:r>
    </w:p>
    <w:p>
      <w:pPr>
        <w:pStyle w:val="Normal"/>
        <w:ind w:start="360" w:end="0"/>
        <w:rPr>
          <w:sz w:val="20"/>
        </w:rPr>
      </w:pPr>
      <w:r>
        <w:rPr>
          <w:sz w:val="20"/>
        </w:rPr>
      </w:r>
    </w:p>
    <w:p>
      <w:pPr>
        <w:pStyle w:val="Heading3"/>
        <w:ind w:hanging="0" w:start="0"/>
        <w:rPr/>
      </w:pPr>
      <w:r>
        <w:rPr/>
        <w:t>Azurix Corporation</w:t>
        <w:tab/>
        <w:tab/>
        <w:tab/>
        <w:tab/>
        <w:tab/>
        <w:tab/>
        <w:t>Houston, Texas</w:t>
      </w:r>
    </w:p>
    <w:p>
      <w:pPr>
        <w:pStyle w:val="Normal"/>
        <w:rPr>
          <w:sz w:val="20"/>
        </w:rPr>
      </w:pPr>
      <w:r>
        <w:rPr>
          <w:sz w:val="20"/>
        </w:rPr>
        <w:t>Manager of Regulatory and Government Affairs</w:t>
        <w:tab/>
        <w:tab/>
        <w:tab/>
        <w:t>February 1999- December 1999</w:t>
      </w:r>
    </w:p>
    <w:p>
      <w:pPr>
        <w:pStyle w:val="Normal"/>
        <w:numPr>
          <w:ilvl w:val="0"/>
          <w:numId w:val="6"/>
        </w:numPr>
        <w:rPr>
          <w:sz w:val="20"/>
        </w:rPr>
      </w:pPr>
      <w:r>
        <w:rPr>
          <w:sz w:val="20"/>
        </w:rPr>
        <w:t xml:space="preserve">Managed regulatory and government affairs from development through transition for a half billion dollar bid for the concession rights to provide water and sewerage service for the province of Buenos Aires, Argentina </w:t>
      </w:r>
    </w:p>
    <w:p>
      <w:pPr>
        <w:pStyle w:val="Normal"/>
        <w:numPr>
          <w:ilvl w:val="0"/>
          <w:numId w:val="6"/>
        </w:numPr>
        <w:rPr>
          <w:sz w:val="20"/>
        </w:rPr>
      </w:pPr>
      <w:r>
        <w:rPr>
          <w:sz w:val="20"/>
        </w:rPr>
        <w:t>Developed regulatory strategy and five year plan for regulatory operations for Buenos Aires Project</w:t>
      </w:r>
    </w:p>
    <w:p>
      <w:pPr>
        <w:pStyle w:val="Normal"/>
        <w:numPr>
          <w:ilvl w:val="0"/>
          <w:numId w:val="6"/>
        </w:numPr>
        <w:rPr>
          <w:sz w:val="20"/>
        </w:rPr>
      </w:pPr>
      <w:r>
        <w:rPr>
          <w:sz w:val="20"/>
        </w:rPr>
        <w:t>Assisted on development of water service projects in Argentina</w:t>
      </w:r>
    </w:p>
    <w:p>
      <w:pPr>
        <w:pStyle w:val="Normal"/>
        <w:numPr>
          <w:ilvl w:val="0"/>
          <w:numId w:val="6"/>
        </w:numPr>
        <w:rPr>
          <w:sz w:val="20"/>
        </w:rPr>
      </w:pPr>
      <w:r>
        <w:rPr>
          <w:sz w:val="20"/>
        </w:rPr>
        <w:t>Managed regulatory and government affairs for Brazil, Argentina and Uruguay</w:t>
      </w:r>
    </w:p>
    <w:p>
      <w:pPr>
        <w:pStyle w:val="Normal"/>
        <w:numPr>
          <w:ilvl w:val="0"/>
          <w:numId w:val="6"/>
        </w:numPr>
        <w:rPr>
          <w:sz w:val="20"/>
        </w:rPr>
      </w:pPr>
      <w:r>
        <w:rPr>
          <w:sz w:val="20"/>
        </w:rPr>
        <w:t>Analyzed and advised on government relations for projects in Mexico</w:t>
      </w:r>
    </w:p>
    <w:p>
      <w:pPr>
        <w:pStyle w:val="Normal"/>
        <w:numPr>
          <w:ilvl w:val="0"/>
          <w:numId w:val="6"/>
        </w:numPr>
        <w:rPr>
          <w:sz w:val="20"/>
        </w:rPr>
      </w:pPr>
      <w:r>
        <w:rPr>
          <w:sz w:val="20"/>
        </w:rPr>
        <w:t>Provided analysis and consultation for water projects in California and Florida</w:t>
      </w:r>
    </w:p>
    <w:p>
      <w:pPr>
        <w:pStyle w:val="Normal"/>
        <w:numPr>
          <w:ilvl w:val="0"/>
          <w:numId w:val="6"/>
        </w:numPr>
        <w:rPr>
          <w:sz w:val="20"/>
        </w:rPr>
      </w:pPr>
      <w:r>
        <w:rPr>
          <w:sz w:val="20"/>
        </w:rPr>
        <w:t>Analyzed political status of elections throughout Latin America</w:t>
      </w:r>
    </w:p>
    <w:p>
      <w:pPr>
        <w:pStyle w:val="Normal"/>
        <w:rPr>
          <w:sz w:val="20"/>
        </w:rPr>
      </w:pPr>
      <w:r>
        <w:rPr>
          <w:sz w:val="20"/>
        </w:rPr>
      </w:r>
    </w:p>
    <w:p>
      <w:pPr>
        <w:pStyle w:val="Heading3"/>
        <w:ind w:hanging="0" w:start="0"/>
        <w:rPr/>
      </w:pPr>
      <w:r>
        <w:rPr/>
        <w:t>Vinson &amp; Elkins, LLP</w:t>
        <w:tab/>
        <w:tab/>
        <w:tab/>
        <w:tab/>
        <w:tab/>
        <w:t>Washington, D.C.</w:t>
      </w:r>
    </w:p>
    <w:p>
      <w:pPr>
        <w:pStyle w:val="Normal"/>
        <w:rPr>
          <w:sz w:val="20"/>
        </w:rPr>
      </w:pPr>
      <w:r>
        <w:rPr>
          <w:sz w:val="20"/>
        </w:rPr>
        <w:t>Associate in Energy Regulatory Section</w:t>
        <w:tab/>
        <w:tab/>
        <w:tab/>
        <w:tab/>
        <w:t>September 1997- January 1999</w:t>
      </w:r>
    </w:p>
    <w:p>
      <w:pPr>
        <w:pStyle w:val="Normal"/>
        <w:rPr>
          <w:sz w:val="20"/>
        </w:rPr>
      </w:pPr>
      <w:r>
        <w:rPr>
          <w:sz w:val="20"/>
        </w:rPr>
        <w:t>Summer Associate</w:t>
        <w:tab/>
        <w:tab/>
        <w:tab/>
        <w:tab/>
        <w:tab/>
        <w:tab/>
        <w:t>June 1996- August 1997</w:t>
      </w:r>
    </w:p>
    <w:p>
      <w:pPr>
        <w:pStyle w:val="Normal"/>
        <w:numPr>
          <w:ilvl w:val="0"/>
          <w:numId w:val="3"/>
        </w:numPr>
        <w:rPr>
          <w:sz w:val="20"/>
        </w:rPr>
      </w:pPr>
      <w:r>
        <w:rPr>
          <w:sz w:val="20"/>
        </w:rPr>
        <w:t>Developed Vinson &amp; Elkins’ library on water projects throughout the world in anticipation of a growing client interest</w:t>
      </w:r>
    </w:p>
    <w:p>
      <w:pPr>
        <w:pStyle w:val="Normal"/>
        <w:numPr>
          <w:ilvl w:val="0"/>
          <w:numId w:val="3"/>
        </w:numPr>
        <w:rPr>
          <w:sz w:val="20"/>
        </w:rPr>
      </w:pPr>
      <w:r>
        <w:rPr>
          <w:sz w:val="20"/>
        </w:rPr>
        <w:t xml:space="preserve">Provided reports and analysis of FERC actions, opinions and decision making for the firm </w:t>
      </w:r>
    </w:p>
    <w:p>
      <w:pPr>
        <w:pStyle w:val="Normal"/>
        <w:numPr>
          <w:ilvl w:val="0"/>
          <w:numId w:val="3"/>
        </w:numPr>
        <w:rPr>
          <w:sz w:val="20"/>
        </w:rPr>
      </w:pPr>
      <w:r>
        <w:rPr>
          <w:sz w:val="20"/>
        </w:rPr>
        <w:t>Electricity:  Drafted and filed regulatory compliance documents for transactions involving Exempt Wholesale Generators, Foreign Utility Company Act, Qualifying Facilities, Open Access Rules, Orders 888 and 889, rates and tariffs, and other electricity related issues</w:t>
      </w:r>
    </w:p>
    <w:p>
      <w:pPr>
        <w:pStyle w:val="Normal"/>
        <w:numPr>
          <w:ilvl w:val="0"/>
          <w:numId w:val="3"/>
        </w:numPr>
        <w:rPr>
          <w:sz w:val="20"/>
        </w:rPr>
      </w:pPr>
      <w:r>
        <w:rPr>
          <w:sz w:val="20"/>
        </w:rPr>
        <w:t>Natural Gas: Drafted written comments for rate hearings, worked on projects within the Natural Gas Act of 1938 and the Natural Gas Policy Act of 1978 for the transportation of Natural Gas, participated in natural gas rate hearing for various clients</w:t>
      </w:r>
    </w:p>
    <w:p>
      <w:pPr>
        <w:pStyle w:val="Normal"/>
        <w:numPr>
          <w:ilvl w:val="0"/>
          <w:numId w:val="3"/>
        </w:numPr>
        <w:rPr>
          <w:sz w:val="20"/>
        </w:rPr>
      </w:pPr>
      <w:r>
        <w:rPr>
          <w:sz w:val="20"/>
        </w:rPr>
        <w:t xml:space="preserve">Drafted legislation to open the electricity market in key cities </w:t>
      </w:r>
    </w:p>
    <w:p>
      <w:pPr>
        <w:pStyle w:val="Normal"/>
        <w:numPr>
          <w:ilvl w:val="0"/>
          <w:numId w:val="3"/>
        </w:numPr>
        <w:rPr>
          <w:sz w:val="20"/>
        </w:rPr>
      </w:pPr>
      <w:r>
        <w:rPr>
          <w:sz w:val="20"/>
        </w:rPr>
        <w:t>Provided state and federal regulatory support for the merger of AEP and CSW working extensively with state Public Utility Commissions</w:t>
      </w:r>
    </w:p>
    <w:p>
      <w:pPr>
        <w:pStyle w:val="Normal"/>
        <w:numPr>
          <w:ilvl w:val="0"/>
          <w:numId w:val="3"/>
        </w:numPr>
        <w:rPr>
          <w:b/>
          <w:bCs/>
          <w:sz w:val="20"/>
        </w:rPr>
      </w:pPr>
      <w:r>
        <w:rPr>
          <w:sz w:val="20"/>
        </w:rPr>
        <w:t>Assisted in drafting and reviewing contracts for the project financing of a natural gas power plant and steel manufacturing plant in Mozambique</w:t>
      </w:r>
    </w:p>
    <w:p>
      <w:pPr>
        <w:pStyle w:val="Normal"/>
        <w:rPr>
          <w:b/>
          <w:bCs/>
          <w:sz w:val="20"/>
        </w:rPr>
      </w:pPr>
      <w:r>
        <w:rPr>
          <w:b/>
          <w:bCs/>
          <w:sz w:val="20"/>
        </w:rPr>
      </w:r>
    </w:p>
    <w:p>
      <w:pPr>
        <w:pStyle w:val="Normal"/>
        <w:rPr>
          <w:sz w:val="20"/>
        </w:rPr>
      </w:pPr>
      <w:r>
        <w:rPr>
          <w:sz w:val="20"/>
        </w:rPr>
      </w:r>
    </w:p>
    <w:p>
      <w:pPr>
        <w:pStyle w:val="Normal"/>
        <w:rPr>
          <w:b/>
          <w:bCs/>
          <w:sz w:val="20"/>
        </w:rPr>
      </w:pPr>
      <w:r>
        <w:rPr>
          <w:b/>
          <w:bCs/>
          <w:sz w:val="20"/>
        </w:rPr>
      </w:r>
    </w:p>
    <w:p>
      <w:pPr>
        <w:pStyle w:val="Heading2"/>
        <w:ind w:hanging="0" w:start="0"/>
        <w:rPr>
          <w:b w:val="false"/>
          <w:bCs w:val="false"/>
          <w:sz w:val="20"/>
        </w:rPr>
      </w:pPr>
      <w:r>
        <w:rPr>
          <w:b w:val="false"/>
          <w:bCs w:val="false"/>
          <w:sz w:val="20"/>
        </w:rPr>
      </w:r>
    </w:p>
    <w:p>
      <w:pPr>
        <w:pStyle w:val="Heading2"/>
        <w:ind w:hanging="0" w:start="0"/>
        <w:rPr/>
      </w:pPr>
      <w:r>
        <w:rPr/>
      </w:r>
    </w:p>
    <w:p>
      <w:pPr>
        <w:pStyle w:val="Heading2"/>
        <w:ind w:hanging="0" w:start="0"/>
        <w:jc w:val="center"/>
        <w:rPr>
          <w:sz w:val="24"/>
        </w:rPr>
      </w:pPr>
      <w:r>
        <w:rPr>
          <w:sz w:val="24"/>
        </w:rPr>
        <w:t>Education</w:t>
      </w:r>
    </w:p>
    <w:p>
      <w:pPr>
        <w:pStyle w:val="Normal"/>
        <w:rPr>
          <w:sz w:val="24"/>
        </w:rPr>
      </w:pPr>
      <w:r>
        <w:rPr>
          <w:sz w:val="24"/>
        </w:rPr>
      </w:r>
    </w:p>
    <w:p>
      <w:pPr>
        <w:pStyle w:val="Heading2"/>
        <w:ind w:hanging="0" w:start="0"/>
        <w:rPr/>
      </w:pPr>
      <w:r>
        <w:rPr/>
        <w:t xml:space="preserve">University of Denver    </w:t>
        <w:tab/>
        <w:tab/>
        <w:tab/>
        <w:tab/>
        <w:tab/>
        <w:tab/>
        <w:tab/>
        <w:t>Denver, Colorado</w:t>
      </w:r>
    </w:p>
    <w:p>
      <w:pPr>
        <w:pStyle w:val="Normal"/>
        <w:rPr/>
      </w:pPr>
      <w:r>
        <w:rPr>
          <w:sz w:val="20"/>
        </w:rPr>
        <w:t>Juris Doctor</w:t>
        <w:tab/>
      </w:r>
      <w:r>
        <w:rPr/>
        <w:tab/>
        <w:tab/>
        <w:tab/>
        <w:tab/>
        <w:tab/>
        <w:tab/>
      </w:r>
      <w:r>
        <w:rPr>
          <w:sz w:val="20"/>
        </w:rPr>
        <w:t>Graduation Date: May 1997</w:t>
      </w:r>
    </w:p>
    <w:p>
      <w:pPr>
        <w:pStyle w:val="Normal"/>
        <w:rPr>
          <w:sz w:val="20"/>
        </w:rPr>
      </w:pPr>
      <w:r>
        <w:rPr>
          <w:sz w:val="20"/>
        </w:rPr>
        <w:t>Activities</w:t>
      </w:r>
    </w:p>
    <w:p>
      <w:pPr>
        <w:pStyle w:val="Normal"/>
        <w:numPr>
          <w:ilvl w:val="0"/>
          <w:numId w:val="4"/>
        </w:numPr>
        <w:rPr>
          <w:sz w:val="20"/>
        </w:rPr>
      </w:pPr>
      <w:r>
        <w:rPr>
          <w:sz w:val="20"/>
        </w:rPr>
        <w:t>One semester as legal intern for Senator John Breaux (D-LA)</w:t>
      </w:r>
    </w:p>
    <w:p>
      <w:pPr>
        <w:pStyle w:val="Normal"/>
        <w:numPr>
          <w:ilvl w:val="1"/>
          <w:numId w:val="4"/>
        </w:numPr>
        <w:rPr>
          <w:sz w:val="20"/>
        </w:rPr>
      </w:pPr>
      <w:r>
        <w:rPr>
          <w:sz w:val="20"/>
        </w:rPr>
        <w:t>Drafted legislation combining active bills in Congress for the deregulation of the retail electricity market</w:t>
      </w:r>
    </w:p>
    <w:p>
      <w:pPr>
        <w:pStyle w:val="Normal"/>
        <w:numPr>
          <w:ilvl w:val="1"/>
          <w:numId w:val="4"/>
        </w:numPr>
        <w:rPr>
          <w:sz w:val="20"/>
        </w:rPr>
      </w:pPr>
      <w:r>
        <w:rPr>
          <w:sz w:val="20"/>
        </w:rPr>
        <w:t>Drafted legislation regulating the use of encription in the United States by private parties</w:t>
      </w:r>
    </w:p>
    <w:p>
      <w:pPr>
        <w:pStyle w:val="Normal"/>
        <w:numPr>
          <w:ilvl w:val="0"/>
          <w:numId w:val="7"/>
        </w:numPr>
        <w:rPr>
          <w:sz w:val="20"/>
        </w:rPr>
      </w:pPr>
      <w:r>
        <w:rPr>
          <w:sz w:val="20"/>
        </w:rPr>
        <w:t>One semester as visiting student at American University in Washington, D.C.  focusing on international and comparative law</w:t>
      </w:r>
    </w:p>
    <w:p>
      <w:pPr>
        <w:pStyle w:val="Normal"/>
        <w:numPr>
          <w:ilvl w:val="0"/>
          <w:numId w:val="7"/>
        </w:numPr>
        <w:rPr>
          <w:sz w:val="20"/>
        </w:rPr>
      </w:pPr>
      <w:r>
        <w:rPr>
          <w:sz w:val="20"/>
        </w:rPr>
        <w:t>Research assistant for Professor Jan Latos, Natural Resources Professor</w:t>
      </w:r>
    </w:p>
    <w:p>
      <w:pPr>
        <w:pStyle w:val="Normal"/>
        <w:numPr>
          <w:ilvl w:val="0"/>
          <w:numId w:val="7"/>
        </w:numPr>
        <w:rPr>
          <w:sz w:val="20"/>
        </w:rPr>
      </w:pPr>
      <w:r>
        <w:rPr>
          <w:sz w:val="20"/>
        </w:rPr>
        <w:t xml:space="preserve">Tutored and mentored  juvenile offenders </w:t>
      </w:r>
    </w:p>
    <w:p>
      <w:pPr>
        <w:pStyle w:val="Normal"/>
        <w:ind w:start="1440" w:end="0"/>
        <w:rPr>
          <w:sz w:val="20"/>
        </w:rPr>
      </w:pPr>
      <w:r>
        <w:rPr>
          <w:sz w:val="20"/>
        </w:rPr>
      </w:r>
    </w:p>
    <w:p>
      <w:pPr>
        <w:pStyle w:val="Heading2"/>
        <w:ind w:hanging="0" w:start="0"/>
        <w:rPr/>
      </w:pPr>
      <w:r>
        <w:rPr/>
        <w:t>Rice University</w:t>
        <w:tab/>
        <w:tab/>
        <w:tab/>
        <w:tab/>
        <w:tab/>
        <w:tab/>
        <w:tab/>
        <w:tab/>
        <w:tab/>
        <w:t>Houston, Texas</w:t>
      </w:r>
    </w:p>
    <w:p>
      <w:pPr>
        <w:pStyle w:val="Normal"/>
        <w:rPr/>
      </w:pPr>
      <w:r>
        <w:rPr>
          <w:sz w:val="20"/>
        </w:rPr>
        <w:t>Batchelor of Arts, History</w:t>
      </w:r>
      <w:r>
        <w:rPr>
          <w:b/>
          <w:bCs/>
          <w:sz w:val="20"/>
        </w:rPr>
        <w:tab/>
        <w:tab/>
        <w:tab/>
        <w:tab/>
        <w:tab/>
        <w:tab/>
      </w:r>
      <w:r>
        <w:rPr>
          <w:sz w:val="20"/>
        </w:rPr>
        <w:t>Graduation Date:  December 1993</w:t>
      </w:r>
    </w:p>
    <w:p>
      <w:pPr>
        <w:pStyle w:val="Normal"/>
        <w:rPr>
          <w:sz w:val="20"/>
        </w:rPr>
      </w:pPr>
      <w:r>
        <w:rPr>
          <w:sz w:val="20"/>
        </w:rPr>
        <w:t>Activities</w:t>
      </w:r>
    </w:p>
    <w:p>
      <w:pPr>
        <w:pStyle w:val="Normal"/>
        <w:numPr>
          <w:ilvl w:val="0"/>
          <w:numId w:val="2"/>
        </w:numPr>
        <w:rPr>
          <w:sz w:val="20"/>
        </w:rPr>
      </w:pPr>
      <w:r>
        <w:rPr>
          <w:sz w:val="20"/>
        </w:rPr>
        <w:t>President of Houston Animal Rights Association</w:t>
      </w:r>
    </w:p>
    <w:p>
      <w:pPr>
        <w:pStyle w:val="Normal"/>
        <w:numPr>
          <w:ilvl w:val="0"/>
          <w:numId w:val="2"/>
        </w:numPr>
        <w:rPr>
          <w:sz w:val="20"/>
        </w:rPr>
      </w:pPr>
      <w:r>
        <w:rPr>
          <w:sz w:val="20"/>
        </w:rPr>
        <w:t>Active in organizations for the protection of the environment, species conservation, and protection of animals</w:t>
      </w:r>
    </w:p>
    <w:p>
      <w:pPr>
        <w:pStyle w:val="Normal"/>
        <w:numPr>
          <w:ilvl w:val="0"/>
          <w:numId w:val="2"/>
        </w:numPr>
        <w:rPr>
          <w:sz w:val="20"/>
        </w:rPr>
      </w:pPr>
      <w:r>
        <w:rPr>
          <w:sz w:val="20"/>
        </w:rPr>
        <w:t>Tutored  juvenile offenders</w:t>
      </w:r>
    </w:p>
    <w:p>
      <w:pPr>
        <w:pStyle w:val="Normal"/>
        <w:rPr>
          <w:sz w:val="20"/>
        </w:rPr>
      </w:pPr>
      <w:r>
        <w:rPr>
          <w:sz w:val="20"/>
        </w:rPr>
      </w:r>
    </w:p>
    <w:p>
      <w:pPr>
        <w:pStyle w:val="Normal"/>
        <w:rPr>
          <w:b/>
          <w:bCs/>
          <w:sz w:val="20"/>
        </w:rPr>
      </w:pPr>
      <w:r>
        <w:rPr>
          <w:b/>
          <w:bCs/>
          <w:sz w:val="20"/>
        </w:rPr>
        <w:t xml:space="preserve">Associations: </w:t>
        <w:tab/>
      </w:r>
    </w:p>
    <w:p>
      <w:pPr>
        <w:pStyle w:val="Normal"/>
        <w:rPr>
          <w:sz w:val="20"/>
        </w:rPr>
      </w:pPr>
      <w:r>
        <w:rPr>
          <w:sz w:val="20"/>
        </w:rPr>
        <w:t xml:space="preserve">Member of the Texas Bar, Member of the Texas Young Lawyers </w:t>
      </w:r>
    </w:p>
    <w:p>
      <w:pPr>
        <w:pStyle w:val="Normal"/>
        <w:rPr/>
      </w:pPr>
      <w:r>
        <w:rPr>
          <w:b/>
          <w:bCs/>
          <w:sz w:val="20"/>
        </w:rPr>
        <w:t>Additional Skills:</w:t>
      </w:r>
      <w:r>
        <w:rPr>
          <w:sz w:val="20"/>
        </w:rPr>
        <w:t xml:space="preserve"> </w:t>
      </w:r>
    </w:p>
    <w:p>
      <w:pPr>
        <w:pStyle w:val="Normal"/>
        <w:rPr>
          <w:sz w:val="20"/>
        </w:rPr>
      </w:pPr>
      <w:r>
        <w:rPr>
          <w:sz w:val="20"/>
        </w:rPr>
        <w:t>Word , Word Perfect, Outlook, Lotus Notes, Internet, Basic Spanish</w:t>
      </w:r>
    </w:p>
    <w:p>
      <w:pPr>
        <w:pStyle w:val="Normal"/>
        <w:rPr/>
      </w:pPr>
      <w:r>
        <w:rPr>
          <w:b/>
          <w:bCs/>
          <w:sz w:val="20"/>
        </w:rPr>
        <w:t>Interests and activities:</w:t>
      </w:r>
      <w:r>
        <w:rPr>
          <w:sz w:val="20"/>
        </w:rPr>
        <w:t xml:space="preserve"> </w:t>
      </w:r>
    </w:p>
    <w:p>
      <w:pPr>
        <w:pStyle w:val="Normal"/>
        <w:rPr>
          <w:sz w:val="20"/>
        </w:rPr>
      </w:pPr>
      <w:r>
        <w:rPr>
          <w:sz w:val="20"/>
        </w:rPr>
        <w:t>Scuba Diving, Marine Conservation, Downhill and Cross Country Skiing, Golf, Tennis, Travel, History, and domestic and international affairs</w:t>
      </w:r>
    </w:p>
    <w:p>
      <w:pPr>
        <w:pStyle w:val="Normal"/>
        <w:rPr>
          <w:sz w:val="20"/>
        </w:rPr>
      </w:pPr>
      <w:r>
        <w:rPr>
          <w:sz w:val="20"/>
        </w:rPr>
      </w:r>
    </w:p>
    <w:p>
      <w:pPr>
        <w:pStyle w:val="Normal"/>
        <w:rPr>
          <w:sz w:val="20"/>
        </w:rPr>
      </w:pPr>
      <w:r>
        <w:rPr>
          <w:sz w:val="20"/>
        </w:rPr>
        <w:t>References available upon request</w:t>
      </w:r>
    </w:p>
    <w:p>
      <w:pPr>
        <w:pStyle w:val="Normal"/>
        <w:rPr>
          <w:sz w:val="20"/>
        </w:rPr>
      </w:pPr>
      <w:r>
        <w:rPr>
          <w:sz w:val="20"/>
        </w:rPr>
      </w:r>
    </w:p>
    <w:p>
      <w:pPr>
        <w:pStyle w:val="Normal"/>
        <w:rPr>
          <w:sz w:val="20"/>
        </w:rPr>
      </w:pPr>
      <w:r>
        <w:rPr>
          <w:sz w:val="20"/>
        </w:rPr>
        <w:t>* Please note that this address will change as of July 8, 2000. The new mailing address will be 144 N. Prospect Drive, Coral Gables, Florida  33133.  The US Voicemail will continue to be in operation, and additional Florida numbers will be provided.</w:t>
      </w:r>
    </w:p>
    <w:p>
      <w:pPr>
        <w:pStyle w:val="Normal"/>
        <w:rPr>
          <w:sz w:val="20"/>
        </w:rPr>
      </w:pPr>
      <w:r>
        <w:rPr>
          <w:sz w:val="20"/>
        </w:rPr>
      </w:r>
    </w:p>
    <w:p>
      <w:pPr>
        <w:pStyle w:val="Normal"/>
        <w:ind w:start="2520" w:end="0"/>
        <w:rPr>
          <w:sz w:val="20"/>
        </w:rPr>
      </w:pPr>
      <w:r>
        <w:rPr>
          <w:sz w:val="20"/>
        </w:rPr>
      </w:r>
    </w:p>
    <w:p>
      <w:pPr>
        <w:pStyle w:val="Normal"/>
        <w:ind w:start="2520" w:end="0"/>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sz w:val="20"/>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2000-04-07T13:44:00Z</dcterms:created>
  <dc:creator>Elizabeth Lay</dc:creator>
  <dc:description/>
  <dc:language>en-CA</dc:language>
  <cp:lastModifiedBy>Elizabeth Lay</cp:lastModifiedBy>
  <dcterms:modified xsi:type="dcterms:W3CDTF">2000-06-21T11:13:00Z</dcterms:modified>
  <cp:revision>12</cp:revision>
  <dc:subject/>
  <dc:title>ELIZABETH A</dc:title>
</cp:coreProperties>
</file>