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center"/>
        <w:rPr>
          <w:b/>
        </w:rPr>
      </w:pPr>
      <w:r>
        <w:rPr>
          <w:b/>
        </w:rPr>
        <w:t>UNITED STATES OF AMERICA</w:t>
      </w:r>
    </w:p>
    <w:p>
      <w:pPr>
        <w:pStyle w:val="Normal"/>
        <w:widowControl/>
        <w:jc w:val="center"/>
        <w:rPr>
          <w:b/>
        </w:rPr>
      </w:pPr>
      <w:r>
        <w:rPr>
          <w:b/>
        </w:rPr>
        <w:t>BEFORE THE</w:t>
      </w:r>
    </w:p>
    <w:p>
      <w:pPr>
        <w:pStyle w:val="Normal"/>
        <w:widowControl/>
        <w:jc w:val="center"/>
        <w:rPr>
          <w:b/>
        </w:rPr>
      </w:pPr>
      <w:r>
        <w:rPr>
          <w:b/>
        </w:rPr>
        <w:t>FEDERAL ENERGY REGULATORY COMMISSION</w:t>
      </w:r>
    </w:p>
    <w:p>
      <w:pPr>
        <w:pStyle w:val="Normal"/>
        <w:widowControl/>
        <w:jc w:val="center"/>
        <w:rPr/>
      </w:pPr>
      <w:r>
        <w:rPr/>
      </w:r>
    </w:p>
    <w:p>
      <w:pPr>
        <w:pStyle w:val="Normal"/>
        <w:widowControl/>
        <w:spacing w:lineRule="auto" w:line="226"/>
        <w:jc w:val="both"/>
        <w:rPr/>
      </w:pPr>
      <w:r>
        <w:rPr/>
        <w:t>____________________________________</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Pacific Gas &amp; Electric Company</w:t>
        <w:tab/>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5760" w:end="0"/>
        <w:jc w:val="both"/>
        <w:rPr/>
      </w:pPr>
      <w:r>
        <w:rPr/>
        <w:t>v.</w:t>
        <w:tab/>
        <w:tab/>
        <w:tab/>
        <w:tab/>
        <w:t>)</w:t>
        <w:tab/>
        <w:tab/>
        <w:t>Docket No. EL01-29-000</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California Power Exchange Corporation</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Southern California Edison Company</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5760" w:end="0"/>
        <w:jc w:val="both"/>
        <w:rPr/>
      </w:pPr>
      <w:r>
        <w:rPr/>
        <w:t>v.</w:t>
        <w:tab/>
        <w:tab/>
        <w:tab/>
        <w:tab/>
        <w:t>)</w:t>
        <w:tab/>
        <w:tab/>
        <w:t>Docket No. EL01-33-000</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California Power Exchange Corporation</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Coral Power, L.L.C., Enron Power</w:t>
        <w:tab/>
        <w:tab/>
        <w:t>)</w:t>
      </w:r>
    </w:p>
    <w:p>
      <w:pPr>
        <w:pStyle w:val="Normal"/>
        <w:widowControl/>
        <w:tabs>
          <w:tab w:val="clear" w:pos="720"/>
          <w:tab w:val="left" w:pos="-1440" w:leader="none"/>
        </w:tabs>
        <w:spacing w:lineRule="auto" w:line="226"/>
        <w:ind w:hanging="4320" w:start="4320" w:end="0"/>
        <w:jc w:val="both"/>
        <w:rPr/>
      </w:pPr>
      <w:r>
        <w:rPr/>
        <w:t xml:space="preserve">  </w:t>
      </w:r>
      <w:r>
        <w:rPr/>
        <w:t>Marketing, Inc., Arizona Public</w:t>
        <w:tab/>
        <w:tab/>
        <w:t>)</w:t>
      </w:r>
    </w:p>
    <w:p>
      <w:pPr>
        <w:pStyle w:val="Normal"/>
        <w:widowControl/>
        <w:tabs>
          <w:tab w:val="clear" w:pos="720"/>
          <w:tab w:val="left" w:pos="-1440" w:leader="none"/>
        </w:tabs>
        <w:spacing w:lineRule="auto" w:line="226"/>
        <w:ind w:hanging="4320" w:start="4320" w:end="0"/>
        <w:jc w:val="both"/>
        <w:rPr/>
      </w:pPr>
      <w:r>
        <w:rPr/>
        <w:t xml:space="preserve">  </w:t>
      </w:r>
      <w:r>
        <w:rPr/>
        <w:t>Service Company, Cargill Alliant,</w:t>
        <w:tab/>
        <w:tab/>
        <w:t>)</w:t>
      </w:r>
    </w:p>
    <w:p>
      <w:pPr>
        <w:pStyle w:val="Normal"/>
        <w:widowControl/>
        <w:tabs>
          <w:tab w:val="clear" w:pos="720"/>
          <w:tab w:val="left" w:pos="-1440" w:leader="none"/>
        </w:tabs>
        <w:spacing w:lineRule="auto" w:line="226"/>
        <w:ind w:hanging="4320" w:start="4320" w:end="0"/>
        <w:jc w:val="both"/>
        <w:rPr/>
      </w:pPr>
      <w:r>
        <w:rPr/>
        <w:t xml:space="preserve">  </w:t>
      </w:r>
      <w:r>
        <w:rPr/>
        <w:t>LLC, San Diego Gas &amp; Electric</w:t>
        <w:tab/>
        <w:tab/>
        <w:t>)</w:t>
      </w:r>
    </w:p>
    <w:p>
      <w:pPr>
        <w:pStyle w:val="Normal"/>
        <w:widowControl/>
        <w:tabs>
          <w:tab w:val="clear" w:pos="720"/>
          <w:tab w:val="left" w:pos="-1440" w:leader="none"/>
        </w:tabs>
        <w:spacing w:lineRule="auto" w:line="226"/>
        <w:ind w:hanging="5760" w:start="5760" w:end="0"/>
        <w:jc w:val="both"/>
        <w:rPr/>
      </w:pPr>
      <w:r>
        <w:rPr/>
        <w:t xml:space="preserve">  </w:t>
      </w:r>
      <w:r>
        <w:rPr/>
        <w:t>Company, Avista Energy, Inc.,</w:t>
        <w:tab/>
        <w:tab/>
        <w:t>)</w:t>
        <w:tab/>
        <w:tab/>
        <w:t>Docket No. EL01-36-000</w:t>
      </w:r>
    </w:p>
    <w:p>
      <w:pPr>
        <w:pStyle w:val="Normal"/>
        <w:widowControl/>
        <w:tabs>
          <w:tab w:val="clear" w:pos="720"/>
          <w:tab w:val="left" w:pos="-1440" w:leader="none"/>
        </w:tabs>
        <w:spacing w:lineRule="auto" w:line="226"/>
        <w:ind w:hanging="4320" w:start="4320" w:end="0"/>
        <w:jc w:val="both"/>
        <w:rPr/>
      </w:pPr>
      <w:r>
        <w:rPr/>
        <w:t xml:space="preserve">  </w:t>
      </w:r>
      <w:r>
        <w:rPr/>
        <w:t>Sempra Energy Trading Corp.,</w:t>
        <w:tab/>
        <w:tab/>
        <w:t>)</w:t>
      </w:r>
    </w:p>
    <w:p>
      <w:pPr>
        <w:pStyle w:val="Normal"/>
        <w:widowControl/>
        <w:tabs>
          <w:tab w:val="clear" w:pos="720"/>
          <w:tab w:val="left" w:pos="-1440" w:leader="none"/>
        </w:tabs>
        <w:spacing w:lineRule="auto" w:line="226"/>
        <w:ind w:hanging="4320" w:start="4320" w:end="0"/>
        <w:jc w:val="both"/>
        <w:rPr/>
      </w:pPr>
      <w:r>
        <w:rPr/>
        <w:t xml:space="preserve">  </w:t>
      </w:r>
      <w:r>
        <w:rPr/>
        <w:t>PacifiCorp, and Constellation</w:t>
        <w:tab/>
        <w:tab/>
        <w:t>)</w:t>
      </w:r>
    </w:p>
    <w:p>
      <w:pPr>
        <w:pStyle w:val="Normal"/>
        <w:widowControl/>
        <w:tabs>
          <w:tab w:val="clear" w:pos="720"/>
          <w:tab w:val="left" w:pos="-1440" w:leader="none"/>
        </w:tabs>
        <w:spacing w:lineRule="auto" w:line="226"/>
        <w:ind w:hanging="4320" w:start="4320" w:end="0"/>
        <w:jc w:val="both"/>
        <w:rPr/>
      </w:pPr>
      <w:r>
        <w:rPr/>
        <w:t xml:space="preserve">  </w:t>
      </w:r>
      <w:r>
        <w:rPr/>
        <w:t>Power Source</w:t>
        <w:tab/>
        <w:tab/>
        <w:tab/>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2880" w:start="4320" w:end="0"/>
        <w:jc w:val="both"/>
        <w:rPr/>
      </w:pPr>
      <w:r>
        <w:rPr/>
        <w:t>v.</w:t>
        <w:tab/>
        <w:tab/>
        <w:tab/>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California Power Exchange Corporation</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Salt River Project Agricultural</w:t>
        <w:tab/>
        <w:tab/>
        <w:t>)</w:t>
      </w:r>
    </w:p>
    <w:p>
      <w:pPr>
        <w:pStyle w:val="Normal"/>
        <w:widowControl/>
        <w:tabs>
          <w:tab w:val="clear" w:pos="720"/>
          <w:tab w:val="left" w:pos="-1440" w:leader="none"/>
        </w:tabs>
        <w:spacing w:lineRule="auto" w:line="226"/>
        <w:ind w:hanging="4320" w:start="4320" w:end="0"/>
        <w:jc w:val="both"/>
        <w:rPr/>
      </w:pPr>
      <w:r>
        <w:rPr/>
        <w:t xml:space="preserve">  </w:t>
      </w:r>
      <w:r>
        <w:rPr/>
        <w:t>Improvement and Power District</w:t>
        <w:tab/>
        <w:tab/>
        <w:t>)</w:t>
      </w:r>
    </w:p>
    <w:p>
      <w:pPr>
        <w:pStyle w:val="Normal"/>
        <w:widowControl/>
        <w:tabs>
          <w:tab w:val="clear" w:pos="720"/>
          <w:tab w:val="left" w:pos="-1440" w:leader="none"/>
        </w:tabs>
        <w:spacing w:lineRule="auto" w:line="226"/>
        <w:ind w:hanging="4320" w:start="4320" w:end="0"/>
        <w:jc w:val="both"/>
        <w:rPr/>
      </w:pPr>
      <w:r>
        <w:rPr/>
        <w:t xml:space="preserve">  </w:t>
      </w:r>
      <w:r>
        <w:rPr/>
        <w:t>and Sacramento Municipal Utility</w:t>
        <w:tab/>
        <w:tab/>
        <w:t>)</w:t>
      </w:r>
    </w:p>
    <w:p>
      <w:pPr>
        <w:pStyle w:val="Normal"/>
        <w:widowControl/>
        <w:tabs>
          <w:tab w:val="clear" w:pos="720"/>
          <w:tab w:val="left" w:pos="-1440" w:leader="none"/>
        </w:tabs>
        <w:spacing w:lineRule="auto" w:line="226"/>
        <w:ind w:hanging="4320" w:start="4320" w:end="0"/>
        <w:jc w:val="both"/>
        <w:rPr/>
      </w:pPr>
      <w:r>
        <w:rPr/>
        <w:t xml:space="preserve">  </w:t>
      </w:r>
      <w:r>
        <w:rPr/>
        <w:t>District</w:t>
        <w:tab/>
        <w:tab/>
        <w:tab/>
        <w:tab/>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5760" w:end="0"/>
        <w:jc w:val="both"/>
        <w:rPr/>
      </w:pPr>
      <w:r>
        <w:rPr/>
        <w:t>v.</w:t>
        <w:tab/>
        <w:tab/>
        <w:tab/>
        <w:tab/>
        <w:t>)</w:t>
        <w:tab/>
        <w:tab/>
        <w:t>Docket No. EL01-37-000</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California Power Exchange Corporation</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Public Service Company of New Mexico</w:t>
        <w:tab/>
        <w:t>)</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5760" w:end="0"/>
        <w:jc w:val="both"/>
        <w:rPr/>
      </w:pPr>
      <w:r>
        <w:rPr/>
        <w:t>v.</w:t>
        <w:tab/>
        <w:tab/>
        <w:tab/>
        <w:tab/>
        <w:t>)</w:t>
        <w:tab/>
        <w:tab/>
        <w:t>Docket No. EL01-43-000</w:t>
      </w:r>
    </w:p>
    <w:p>
      <w:pPr>
        <w:pStyle w:val="Normal"/>
        <w:widowControl/>
        <w:spacing w:lineRule="auto" w:line="226"/>
        <w:ind w:firstLine="4320" w:end="0"/>
        <w:jc w:val="both"/>
        <w:rPr/>
      </w:pPr>
      <w:r>
        <w:rPr/>
        <w:t>)</w:t>
      </w:r>
    </w:p>
    <w:p>
      <w:pPr>
        <w:pStyle w:val="Normal"/>
        <w:widowControl/>
        <w:tabs>
          <w:tab w:val="clear" w:pos="720"/>
          <w:tab w:val="left" w:pos="-1440" w:leader="none"/>
        </w:tabs>
        <w:spacing w:lineRule="auto" w:line="226"/>
        <w:ind w:hanging="4320" w:start="4320" w:end="0"/>
        <w:jc w:val="both"/>
        <w:rPr/>
      </w:pPr>
      <w:r>
        <w:rPr/>
        <w:t>California Power Exchange Corporation</w:t>
        <w:tab/>
        <w:t>)</w:t>
      </w:r>
    </w:p>
    <w:p>
      <w:pPr>
        <w:sectPr>
          <w:type w:val="nextPage"/>
          <w:pgSz w:w="12240" w:h="15840"/>
          <w:pgMar w:left="1440" w:right="1440" w:gutter="0" w:header="0" w:top="1440" w:footer="0" w:bottom="720"/>
          <w:pgNumType w:fmt="decimal"/>
          <w:formProt w:val="false"/>
          <w:textDirection w:val="lrTb"/>
          <w:docGrid w:type="default" w:linePitch="360" w:charSpace="0"/>
        </w:sectPr>
        <w:pStyle w:val="Normal"/>
        <w:widowControl/>
        <w:jc w:val="both"/>
        <w:rPr/>
      </w:pPr>
      <w:r>
        <w:rPr/>
        <w:t>____________________________________)</w:t>
      </w:r>
    </w:p>
    <w:p>
      <w:pPr>
        <w:pStyle w:val="Normal"/>
        <w:widowControl/>
        <w:jc w:val="center"/>
        <w:rPr>
          <w:b/>
        </w:rPr>
      </w:pPr>
      <w:r>
        <w:rPr>
          <w:b/>
        </w:rPr>
        <w:t>MOTION FOR CLARIFICATION OF THE COMMISSION'S</w:t>
      </w:r>
    </w:p>
    <w:p>
      <w:pPr>
        <w:pStyle w:val="Normal"/>
        <w:widowControl/>
        <w:jc w:val="center"/>
        <w:rPr>
          <w:b/>
        </w:rPr>
      </w:pPr>
      <w:r>
        <w:rPr>
          <w:b/>
        </w:rPr>
        <w:t xml:space="preserve">APRIL 6, 2001 ORDER REJECTING THE USE OF </w:t>
      </w:r>
    </w:p>
    <w:p>
      <w:pPr>
        <w:pStyle w:val="Normal"/>
        <w:widowControl/>
        <w:jc w:val="center"/>
        <w:rPr>
          <w:b/>
        </w:rPr>
      </w:pPr>
      <w:r>
        <w:rPr>
          <w:b/>
        </w:rPr>
        <w:t xml:space="preserve">CHARGEBACKS TO COVER THE DEFAULTS OF CERTAIN </w:t>
      </w:r>
    </w:p>
    <w:p>
      <w:pPr>
        <w:pStyle w:val="Normal"/>
        <w:widowControl/>
        <w:jc w:val="center"/>
        <w:rPr>
          <w:b/>
        </w:rPr>
      </w:pPr>
      <w:r>
        <w:rPr>
          <w:b/>
        </w:rPr>
        <w:t xml:space="preserve">PURCHASERS OF ELECTRICITY AND ENFORCEMENT </w:t>
      </w:r>
    </w:p>
    <w:p>
      <w:pPr>
        <w:pStyle w:val="Normal"/>
        <w:widowControl/>
        <w:jc w:val="center"/>
        <w:rPr>
          <w:b/>
        </w:rPr>
      </w:pPr>
      <w:r>
        <w:rPr>
          <w:b/>
        </w:rPr>
        <w:t xml:space="preserve">OF THE PX'S OBLIGATION TO RETURN COLLATERAL </w:t>
      </w:r>
    </w:p>
    <w:p>
      <w:pPr>
        <w:pStyle w:val="Normal"/>
        <w:widowControl/>
        <w:jc w:val="center"/>
        <w:rPr/>
      </w:pPr>
      <w:r>
        <w:rPr/>
      </w:r>
    </w:p>
    <w:p>
      <w:pPr>
        <w:pStyle w:val="Normal"/>
        <w:widowControl/>
        <w:spacing w:lineRule="auto" w:line="480"/>
        <w:ind w:firstLine="720" w:end="0"/>
        <w:jc w:val="both"/>
        <w:rPr/>
      </w:pPr>
      <w:r>
        <w:rPr/>
        <w:t xml:space="preserve">Coral Power, L.L.C., Enron Power Marketing, Inc., Arizona Public Service Company, Cargill Alliant, LLC, San Diego Gas &amp; Electric Company, Avista Energy, Inc., Sempra Energy Trading Corp., PacifiCorp, and Constellation Power Source ("Complainants") hereby request clarification of the Commission's April 6, 2001 order in this proceeding rejecting the California Power Exchange Corporation's ("PX") use of chargebacks to cover the defaults of Southern California Edison Company ("SCE") and Pacific Gas and Electric Company ("PG&amp;E").  </w:t>
      </w:r>
      <w:r>
        <w:rPr>
          <w:i/>
        </w:rPr>
        <w:t>Pacific Gas and Electric Co. v. California Power Exchange Corp., et al.</w:t>
      </w:r>
      <w:r>
        <w:rPr/>
        <w:t xml:space="preserve">, 95 FERC </w:t>
      </w:r>
      <w:r>
        <w:rPr>
          <w:rFonts w:cs="WP TypographicSymbols" w:ascii="WP TypographicSymbols" w:hAnsi="WP TypographicSymbols"/>
        </w:rPr>
        <w:t>&amp;</w:t>
      </w:r>
      <w:r>
        <w:rPr/>
        <w:t> 61,020 (2001) ("April 6 Order").  In connection with that clarification, Complainants seek expedited enforcement of the PX's responsibility under its Tariff to return the collateral pledged by non-defaulting PX Participants in excess of the remaining obligations that those Participants have to the PX.</w:t>
      </w:r>
      <w:r>
        <w:rPr>
          <w:rStyle w:val="FootnoteCharacters"/>
          <w:rStyle w:val="FootnoteReference"/>
          <w:vertAlign w:val="superscript"/>
        </w:rPr>
        <w:footnoteReference w:id="2"/>
      </w:r>
    </w:p>
    <w:p>
      <w:pPr>
        <w:pStyle w:val="Normal"/>
        <w:widowControl/>
        <w:jc w:val="center"/>
        <w:rPr>
          <w:b/>
          <w:sz w:val="26"/>
        </w:rPr>
      </w:pPr>
      <w:r>
        <w:rPr>
          <w:b/>
          <w:sz w:val="26"/>
        </w:rPr>
        <w:t>I.</w:t>
      </w:r>
    </w:p>
    <w:p>
      <w:pPr>
        <w:pStyle w:val="Normal"/>
        <w:widowControl/>
        <w:jc w:val="center"/>
        <w:rPr>
          <w:sz w:val="26"/>
        </w:rPr>
      </w:pPr>
      <w:r>
        <w:rPr>
          <w:b/>
          <w:sz w:val="26"/>
        </w:rPr>
        <w:t>SUMMARY OF MOTION</w:t>
      </w:r>
    </w:p>
    <w:p>
      <w:pPr>
        <w:pStyle w:val="Normal"/>
        <w:widowControl/>
        <w:jc w:val="center"/>
        <w:rPr>
          <w:sz w:val="26"/>
        </w:rPr>
      </w:pPr>
      <w:r>
        <w:rPr>
          <w:sz w:val="26"/>
        </w:rPr>
      </w:r>
    </w:p>
    <w:p>
      <w:pPr>
        <w:sectPr>
          <w:footerReference w:type="default" r:id="rId2"/>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spacing w:lineRule="auto" w:line="480"/>
        <w:ind w:firstLine="720" w:end="0"/>
        <w:jc w:val="both"/>
        <w:rPr/>
      </w:pPr>
      <w:r>
        <w:rPr/>
        <w:t xml:space="preserve">In its April 6 Order, the Commission straightforwardly and with out ambiguity held that non-defaulting PX Participants are not responsible for SCE's and PG&amp;E's defaults to the PX.  The Commission found that the chargeback mechanism was not intended to address defaults of the magnitude of the defaults of the utilities.  The Commission found that the PX's attempt to shift responsibility for those defaults to the remaining PX Participants would thus have an unreasonable impact on otherwise creditworthy PX Participants and would exacerbate already weakened market conditions in California.  Accordingly, the Commission rejected the PX's right to use chargebacks to cover the defaults of SCE and PG&amp;E and directed the PX to rescind all existing chargebacks. </w:t>
      </w:r>
    </w:p>
    <w:p>
      <w:pPr>
        <w:pStyle w:val="Normal"/>
        <w:widowControl/>
        <w:spacing w:lineRule="auto" w:line="480"/>
        <w:ind w:firstLine="720" w:end="0"/>
        <w:jc w:val="both"/>
        <w:rPr/>
      </w:pPr>
      <w:r>
        <w:rPr/>
        <w:t xml:space="preserve">Refusing to comply with the logical import of the April 6 Order and the plain meaning of its Tariff, however, the PX now asserts that the collateral pledged by non-defaulting PX Participants could be substituted for chargeback revenues to cover the same defaults of SCE and PG&amp;E.  The reasons advanced by the PX in support of this claim are specious.  First, the PX claims that two California state court proceedings </w:t>
      </w:r>
      <w:r>
        <w:rPr>
          <w:rFonts w:cs="WP TypographicSymbols" w:ascii="WP TypographicSymbols" w:hAnsi="WP TypographicSymbols"/>
        </w:rPr>
        <w:t>C</w:t>
      </w:r>
      <w:r>
        <w:rPr/>
        <w:t xml:space="preserve"> which the Commission stated may have a bearing on the "ultimate question" as to how the PX should account for </w:t>
      </w:r>
      <w:r>
        <w:rPr>
          <w:i/>
        </w:rPr>
        <w:t xml:space="preserve">SCE's and PG&amp;E </w:t>
      </w:r>
      <w:r>
        <w:rPr/>
        <w:t xml:space="preserve">nonpayments </w:t>
      </w:r>
      <w:r>
        <w:rPr>
          <w:rFonts w:cs="WP TypographicSymbols" w:ascii="WP TypographicSymbols" w:hAnsi="WP TypographicSymbols"/>
        </w:rPr>
        <w:t>C</w:t>
      </w:r>
      <w:r>
        <w:rPr/>
        <w:t xml:space="preserve"> prevent it from returning the collateral.  Contrary to this assertion, the nonpayments of SCE and PG&amp;E have no bearing on whether the collateral of the non-defaulting PX Participants should be returned to them.  Equally vacuous is the PX's claim that the Commission's silence on the collateral matter in the April 6 Order somehow allows it to violate its Tariff and retain the collateral.  The Commission was silent on the collateral issue because it was neither raised in our Complaint nor has any relevance to the chargeback issue. </w:t>
      </w:r>
    </w:p>
    <w:p>
      <w:pPr>
        <w:pStyle w:val="Normal"/>
        <w:widowControl/>
        <w:spacing w:lineRule="auto" w:line="480"/>
        <w:ind w:firstLine="720" w:end="0"/>
        <w:jc w:val="both"/>
        <w:rPr/>
      </w:pPr>
      <w:r>
        <w:rPr/>
        <w:t xml:space="preserve">Rather than being controlled by the April 6 Order, the PX's obligation to return the collateral is controlled by its Tariff.  Under that Tariff, the PX  must return that collateral when PX Participants have fulfilled their individual obligations to the PX, without regard to the obligations of other PX Participants.  In accordance with the filed rate doctrine, therefore, the PX must immediately return the collateral of the remaining PX Participants. </w:t>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widowControl/>
        <w:spacing w:lineRule="auto" w:line="480"/>
        <w:ind w:firstLine="720" w:end="0"/>
        <w:jc w:val="both"/>
        <w:rPr/>
      </w:pPr>
      <w:r>
        <w:rPr/>
        <w:t>The PX's refusal to discharge its obligations under its Tariff and return the collateral to non-defaulting PX Participants is thus arbitrary, illogical and tantamount to conversion of property  without any arguable basis in law.  By adversely impacting creditworthy market participants that otherwise could help provide much needed additional supplies to the market, the PX's defiance is interfering with the remedies necessary to resolve the current crisis in California's electricity markets.  The Commission must therefore take decisive action to prevent the PX from causing further damage to California's markets, as it would if the PX is allowed to retain Complainants' collateral as well as the collateral of other non-defaulting PX Participants.  Accordingly, for the reasons discussed herein, we request that the Commission direct the PX to release within thirty (30) days hereof the collateral of all non-defaulting PX Participants in excess of their remaining obligations to the PX</w:t>
      </w:r>
      <w:r>
        <w:rPr>
          <w:sz w:val="26"/>
        </w:rPr>
        <w:t>.</w:t>
      </w:r>
    </w:p>
    <w:p>
      <w:pPr>
        <w:pStyle w:val="Normal"/>
        <w:widowControl/>
        <w:jc w:val="center"/>
        <w:rPr>
          <w:b/>
          <w:sz w:val="26"/>
        </w:rPr>
      </w:pPr>
      <w:r>
        <w:rPr>
          <w:b/>
          <w:sz w:val="26"/>
        </w:rPr>
        <w:t>II.</w:t>
      </w:r>
    </w:p>
    <w:p>
      <w:pPr>
        <w:pStyle w:val="Normal"/>
        <w:widowControl/>
        <w:spacing w:lineRule="auto" w:line="480"/>
        <w:jc w:val="center"/>
        <w:rPr>
          <w:b/>
          <w:sz w:val="26"/>
        </w:rPr>
      </w:pPr>
      <w:r>
        <w:rPr>
          <w:b/>
          <w:sz w:val="26"/>
        </w:rPr>
        <w:t>BACKGROUND</w:t>
      </w:r>
    </w:p>
    <w:p>
      <w:pPr>
        <w:pStyle w:val="Normal"/>
        <w:widowControl/>
        <w:spacing w:lineRule="auto" w:line="480"/>
        <w:ind w:firstLine="720" w:end="0"/>
        <w:jc w:val="both"/>
        <w:rPr/>
      </w:pPr>
      <w:r>
        <w:rPr/>
        <w:t>On February 8, 2001, Complainants filed a complaint in Docket No. EL01-36-000 challenging the PX's use of the default chargeback provision contained in Section 5.3 of Schedule 2 of PX</w:t>
      </w:r>
      <w:r>
        <w:rPr>
          <w:rFonts w:cs="WP TypographicSymbols" w:ascii="WP TypographicSymbols" w:hAnsi="WP TypographicSymbols"/>
        </w:rPr>
        <w:t>=</w:t>
      </w:r>
      <w:r>
        <w:rPr/>
        <w:t>s tariff to allocate the defaults of SCE and PG&amp;E to the remaining PX Participants.</w:t>
      </w:r>
      <w:r>
        <w:rPr>
          <w:rStyle w:val="FootnoteCharacters"/>
          <w:rStyle w:val="FootnoteReference"/>
          <w:vertAlign w:val="superscript"/>
        </w:rPr>
        <w:footnoteReference w:id="3"/>
      </w:r>
      <w:r>
        <w:rPr/>
        <w:t xml:space="preserve">  We pointed out that default chargebacks, which are a previously rarely used form of self-insurance, were never intended to defray the large defaults by PX's utility buyers </w:t>
      </w:r>
      <w:r>
        <w:rPr>
          <w:rFonts w:cs="WP TypographicSymbols" w:ascii="WP TypographicSymbols" w:hAnsi="WP TypographicSymbols"/>
        </w:rPr>
        <w:t>C</w:t>
      </w:r>
      <w:r>
        <w:rPr/>
        <w:t xml:space="preserve"> SCE and PG&amp;E </w:t>
      </w:r>
      <w:r>
        <w:rPr>
          <w:rFonts w:cs="WP TypographicSymbols" w:ascii="WP TypographicSymbols" w:hAnsi="WP TypographicSymbols"/>
        </w:rPr>
        <w:t>C</w:t>
      </w:r>
      <w:r>
        <w:rPr/>
        <w:t xml:space="preserve"> but were designed solely to ensure the delivery of energy by sellers.</w:t>
      </w:r>
      <w:r>
        <w:rPr>
          <w:rStyle w:val="FootnoteCharacters"/>
          <w:rStyle w:val="FootnoteReference"/>
          <w:vertAlign w:val="superscript"/>
        </w:rPr>
        <w:footnoteReference w:id="4"/>
      </w:r>
      <w:r>
        <w:rPr/>
        <w:t xml:space="preserve"> </w:t>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widowControl/>
        <w:spacing w:lineRule="auto" w:line="480"/>
        <w:ind w:firstLine="720" w:end="0"/>
        <w:jc w:val="both"/>
        <w:rPr/>
      </w:pPr>
      <w:r>
        <w:rPr/>
        <w:t xml:space="preserve">The Commission agreed with our complaint, stating that "the PX's use of the chargeback mechanism has had and will continue to have an impact on otherwise creditworthy PX participants that will exacerbate the existing adverse market conditions in California."  April 6 Order, </w:t>
      </w:r>
      <w:r>
        <w:rPr>
          <w:i/>
        </w:rPr>
        <w:t>slip op.</w:t>
      </w:r>
      <w:r>
        <w:rPr/>
        <w:t xml:space="preserve"> at 13.  The Commission added that </w:t>
      </w:r>
    </w:p>
    <w:p>
      <w:pPr>
        <w:pStyle w:val="Normal"/>
        <w:widowControl/>
        <w:spacing w:lineRule="auto" w:line="480"/>
        <w:ind w:start="1440" w:end="1440"/>
        <w:jc w:val="both"/>
        <w:rPr/>
      </w:pPr>
      <w:r>
        <w:rPr/>
        <w:t>chargebacks, were they to be assessed under those circumstances, would cause virtually all PX participants to default, thereby compounding adverse market conditions throughout the entire Western region.  Therefore, we conclude that the chargeback provision in the PX tariff was not designed to address default of this magnitude and, thus, its application in these circumstances is unjust and unreasonable.</w:t>
      </w:r>
    </w:p>
    <w:p>
      <w:pPr>
        <w:pStyle w:val="Normal"/>
        <w:widowControl/>
        <w:spacing w:lineRule="auto" w:line="480"/>
        <w:jc w:val="both"/>
        <w:rPr/>
      </w:pPr>
      <w:r>
        <w:rPr>
          <w:i/>
        </w:rPr>
        <w:t>Id.</w:t>
      </w:r>
      <w:r>
        <w:rPr/>
        <w:t xml:space="preserve">  The Commission directed the PX to rescind all prior chargebacks related to PG&amp;E's and SCE's liabilities, and refrain from taking any future chargeback action related to those liabilities.  </w:t>
      </w:r>
      <w:r>
        <w:rPr>
          <w:i/>
        </w:rPr>
        <w:t>Id.</w:t>
      </w:r>
      <w:r>
        <w:rPr/>
        <w:t xml:space="preserve"> at 14.</w:t>
      </w:r>
    </w:p>
    <w:p>
      <w:pPr>
        <w:pStyle w:val="Normal"/>
        <w:widowControl/>
        <w:spacing w:lineRule="auto" w:line="480"/>
        <w:ind w:firstLine="720" w:end="0"/>
        <w:jc w:val="both"/>
        <w:rPr/>
      </w:pPr>
      <w:r>
        <w:rPr/>
        <w:t>The Commission did not resolve the "ultimate question of how the PX should account for the nonpayments of SoCal Edison and PG&amp;E" in the April 6 Order, electing instead to await the outcome of two California state court proceedings.</w:t>
      </w:r>
      <w:r>
        <w:rPr>
          <w:rStyle w:val="FootnoteCharacters"/>
          <w:rStyle w:val="FootnoteReference"/>
          <w:vertAlign w:val="superscript"/>
        </w:rPr>
        <w:footnoteReference w:id="5"/>
      </w:r>
      <w:r>
        <w:rPr/>
        <w:t xml:space="preserve">  The Commission reasoned that a decision in these proceedings "would have significant implications" on how to "account" for SCE's and PG&amp;E's nonpayments.  Procedures were established in the April 6 Order to resolve the accounting questions once the two California state court proceedings were resolved, or within 100 days of the April 6 Order, whichever occurred first.</w:t>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widowControl/>
        <w:spacing w:lineRule="auto" w:line="480"/>
        <w:ind w:firstLine="720" w:end="0"/>
        <w:jc w:val="both"/>
        <w:rPr/>
      </w:pPr>
      <w:r>
        <w:rPr/>
        <w:t>Following the April 6 Order, PX Participants began to demand that the PX return the collateral that they had originally posted with the PX in accordance with the PX's Tariff in order to participate in the PX's markets.</w:t>
      </w:r>
      <w:r>
        <w:rPr>
          <w:rStyle w:val="FootnoteCharacters"/>
          <w:rStyle w:val="FootnoteReference"/>
          <w:vertAlign w:val="superscript"/>
        </w:rPr>
        <w:footnoteReference w:id="6"/>
      </w:r>
      <w:r>
        <w:rPr/>
        <w:t xml:space="preserve">  On April 10, 2001, Mirant Americas Energy Marketing, L.P. ("Mirant") submitted a written request to the PX demanding the return of its collateral.  In response to Mirant's request, the PX claimed, by letter dated April 12, 2001, that it is not required to return the collateral at this time.</w:t>
      </w:r>
      <w:r>
        <w:rPr>
          <w:rStyle w:val="FootnoteCharacters"/>
          <w:rStyle w:val="FootnoteReference"/>
          <w:vertAlign w:val="superscript"/>
        </w:rPr>
        <w:footnoteReference w:id="7"/>
      </w:r>
      <w:r>
        <w:rPr/>
        <w:t xml:space="preserve">  According to the PX, "the FERC Order did not [affirmatively] require" it to return the collateral or "include instructions on how to pay CalPX obligations to participants in the absence of full payment of all obligations by all CalPX participants."  The PX further asserted that its obligation to return the collateral is intertwined with the "'ultimate question' on how to handle shortfalls in the market." Finally, the PX states that the injunction issued by the Honorable Carlos Moreno on March 5, 2001 in C.D. Cal. Case No. 01-2542 CM prevents it from returning the collateral at this time.</w:t>
      </w:r>
    </w:p>
    <w:p>
      <w:pPr>
        <w:pStyle w:val="Normal"/>
        <w:widowControl/>
        <w:jc w:val="center"/>
        <w:rPr>
          <w:b/>
          <w:sz w:val="26"/>
        </w:rPr>
      </w:pPr>
      <w:r>
        <w:rPr>
          <w:b/>
          <w:sz w:val="26"/>
        </w:rPr>
        <w:t>III.</w:t>
      </w:r>
    </w:p>
    <w:p>
      <w:pPr>
        <w:pStyle w:val="Normal"/>
        <w:widowControl/>
        <w:jc w:val="center"/>
        <w:rPr>
          <w:b/>
          <w:sz w:val="26"/>
        </w:rPr>
      </w:pPr>
      <w:r>
        <w:rPr>
          <w:b/>
          <w:sz w:val="26"/>
        </w:rPr>
        <w:t>ARGUMENT</w:t>
      </w:r>
    </w:p>
    <w:p>
      <w:pPr>
        <w:pStyle w:val="Normal"/>
        <w:widowControl/>
        <w:jc w:val="center"/>
        <w:rPr/>
      </w:pPr>
      <w:r>
        <w:rPr/>
      </w:r>
    </w:p>
    <w:p>
      <w:pPr>
        <w:pStyle w:val="Normal"/>
        <w:widowControl/>
        <w:spacing w:lineRule="auto" w:line="480"/>
        <w:ind w:firstLine="720" w:end="0"/>
        <w:jc w:val="both"/>
        <w:rPr/>
      </w:pPr>
      <w:r>
        <w:rPr/>
        <w:t>The reasons advanced by the PX for not returning the collateral to non-defaulting PX Participants defy the logic of the April 6 Order as well as the reasons why collateral is pledged to the PX in the first instance, in violation of the PX's Tariff.</w:t>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Level1"/>
        <w:widowControl/>
        <w:numPr>
          <w:ilvl w:val="0"/>
          <w:numId w:val="2"/>
        </w:numPr>
        <w:tabs>
          <w:tab w:val="left" w:pos="-1440" w:leader="none"/>
          <w:tab w:val="left" w:pos="720" w:leader="none"/>
        </w:tabs>
        <w:jc w:val="both"/>
        <w:rPr/>
      </w:pPr>
      <w:r>
        <w:rPr/>
        <w:t xml:space="preserve">The Findings Underlying the April 6 Order Require the PX to Return the Collateral to Non-Defaulting PX Participants Without Further Delay </w:t>
      </w:r>
    </w:p>
    <w:p>
      <w:pPr>
        <w:pStyle w:val="Normal"/>
        <w:widowControl/>
        <w:jc w:val="both"/>
        <w:rPr/>
      </w:pPr>
      <w:r>
        <w:rPr/>
      </w:r>
    </w:p>
    <w:p>
      <w:pPr>
        <w:pStyle w:val="Normal"/>
        <w:widowControl/>
        <w:spacing w:lineRule="auto" w:line="480"/>
        <w:ind w:firstLine="720" w:end="0"/>
        <w:jc w:val="both"/>
        <w:rPr/>
      </w:pPr>
      <w:r>
        <w:rPr/>
        <w:t xml:space="preserve">In its letter to Mirant, the PX claims that it is entitled to retain the collateral of the former Participants in its markets until questions concerning how the PX should "handle" SCE's and PG&amp;E's nonpayments are addressed by the Commission.  The PX's reading of the April 6 Order is without any credible basis.  That decision clearly provides that the PX cannot hold non-defaulting PX Participants responsible for the shortfalls caused by PG&amp;E's and SCE's defaults </w:t>
      </w:r>
      <w:r>
        <w:rPr>
          <w:rFonts w:cs="WP TypographicSymbols" w:ascii="WP TypographicSymbols" w:hAnsi="WP TypographicSymbols"/>
        </w:rPr>
        <w:t>C</w:t>
      </w:r>
      <w:r>
        <w:rPr/>
        <w:t xml:space="preserve"> there, under the guise of the chargeback mechanism contained in Section 5.3 of its tariff.  That reasoning likewise prevents the PX from retaining the collateral of the same non-defaulting PX Participants to cover the same defaults.</w:t>
      </w:r>
    </w:p>
    <w:p>
      <w:pPr>
        <w:pStyle w:val="Normal"/>
        <w:widowControl/>
        <w:spacing w:lineRule="auto" w:line="480"/>
        <w:ind w:firstLine="720" w:end="0"/>
        <w:jc w:val="both"/>
        <w:rPr/>
      </w:pPr>
      <w:r>
        <w:rPr/>
        <w:t xml:space="preserve">While it is correct that the Commission deferred ruling on how to account for SCE's and PG&amp;E's nonpayments until after the two state court proceedings are resolved (or 100 days, whichever comes first), the Commission did not defer on the question of whether non-defaulting PX Participants should be held responsible for those defaults.  On that question, the Commission issued a resounding "no," finding that this would have an unjust and unreasonable impact on "otherwise creditworthy PX Participants that will exacerbate the existing adverse market conditions in California."  April 6 Order, </w:t>
      </w:r>
      <w:r>
        <w:rPr>
          <w:i/>
        </w:rPr>
        <w:t>slip op.</w:t>
      </w:r>
      <w:r>
        <w:rPr/>
        <w:t xml:space="preserve"> at 13.  Thus, insofar as Complainants are concerned, all questions surrounding our responsibility to the PX for SCE's and PG&amp;E's defaults to the PX have been fully litigated.  The PX's characterization of the import of the two state proceedings as relating to how SCE's and PG&amp;E's defaults should be "handled" by the PX thus attempts to elevate the Commission's reliance on those proceedings as pertaining far beyond the Commission's limited focus on certain accounting issues.   </w:t>
      </w:r>
    </w:p>
    <w:p>
      <w:pPr>
        <w:sectPr>
          <w:footerReference w:type="default" r:id="rId3"/>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spacing w:lineRule="auto" w:line="480"/>
        <w:ind w:firstLine="720" w:end="0"/>
        <w:jc w:val="both"/>
        <w:rPr/>
      </w:pPr>
      <w:r>
        <w:rPr/>
        <w:t>Notwithstanding the Commission's clear and unmistakable ruling that the remaining market participants are not responsible for SCE's and PG&amp;E's defaults, the PX nevertheless now claims that it is unclear whether it can accomplish the same result by another means.  Specifically, while the PX may not use the chargeback mechanism to require non-defaulting PX Participants to defray SCE's and PG&amp;E's defaults, the PX suggests that it may use the collateral of the same non-defaulting PX Participants to cover the same defaults.  Such a result completely ignores the import of the Commission's determinations.  Surely, if it is unreasonable require non-defaulting PX Participants to pay for SCE's and PG&amp;E's defaults by means of chargebacks, it is equally unjust and unreasonable and injurious to the California market to use the collateral of the same non-defaulting PX Participants for the same purpose.  The PX's suggestion that this matter is open for debate is not credible.</w:t>
      </w:r>
    </w:p>
    <w:p>
      <w:pPr>
        <w:pStyle w:val="Normal"/>
        <w:widowControl/>
        <w:spacing w:lineRule="auto" w:line="480"/>
        <w:ind w:firstLine="720" w:end="0"/>
        <w:jc w:val="both"/>
        <w:rPr/>
      </w:pPr>
      <w:r>
        <w:rPr/>
        <w:t xml:space="preserve">The PX grasps at straws in claiming that the Commission's silence in the April 6 Order on the collateral issue somehow indicates that the collateral pledged by the PX Participants could be employed to defray SCE's and PG&amp;E's defaults.  Contrary to this assertion, the April 6 Order speaks to the matters addressed therein; it has no bearing on any other matter.  If, as the PX suggests, negative inferences could be drawn by the Commission's silence on matters extraneous to the questions presented in a complaint (or in any utility filing for that matter), the Commission would be required, </w:t>
      </w:r>
      <w:r>
        <w:rPr>
          <w:i/>
        </w:rPr>
        <w:t>sua sponte</w:t>
      </w:r>
      <w:r>
        <w:rPr/>
        <w:t>, to raise and decide many matters beyond the scope of the matters presented.  Surely, the Commission does not wish to open this can of worms.  Questions surrounding the return of the collateral were not raised in our Complaint for a good reason: it was not necessary to address those questions in order to resolve our objections to the use of chargebacks to cover SCE's and PG&amp;E's defaults.</w:t>
      </w:r>
    </w:p>
    <w:p>
      <w:pPr>
        <w:pStyle w:val="Normal"/>
        <w:widowControl/>
        <w:spacing w:lineRule="auto" w:line="480"/>
        <w:ind w:firstLine="720" w:end="0"/>
        <w:jc w:val="both"/>
        <w:rPr/>
      </w:pPr>
      <w:r>
        <w:rPr/>
        <w:t>For these reasons, there is nothing in the April 6 Order that allows the PX to retain the collateral of non-defaulting PX Participants.</w:t>
      </w:r>
    </w:p>
    <w:p>
      <w:pPr>
        <w:pStyle w:val="Normal"/>
        <w:widowControl/>
        <w:ind w:firstLine="720" w:end="0"/>
        <w:jc w:val="both"/>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Level1"/>
        <w:widowControl/>
        <w:numPr>
          <w:ilvl w:val="0"/>
          <w:numId w:val="2"/>
        </w:numPr>
        <w:tabs>
          <w:tab w:val="left" w:pos="-1440" w:leader="none"/>
          <w:tab w:val="left" w:pos="720" w:leader="none"/>
        </w:tabs>
        <w:jc w:val="both"/>
        <w:rPr/>
      </w:pPr>
      <w:r>
        <w:rPr/>
        <w:t>The PX is Required by Its Tariff to Immediately Return All Collateral that It Holds in Excess of Each Participant's Remaining Obligations to the PX</w:t>
      </w:r>
    </w:p>
    <w:p>
      <w:pPr>
        <w:pStyle w:val="Normal"/>
        <w:widowControl/>
        <w:jc w:val="both"/>
        <w:rPr/>
      </w:pPr>
      <w:r>
        <w:rPr/>
      </w:r>
    </w:p>
    <w:p>
      <w:pPr>
        <w:pStyle w:val="Normal"/>
        <w:widowControl/>
        <w:spacing w:lineRule="auto" w:line="480"/>
        <w:ind w:firstLine="720" w:end="0"/>
        <w:jc w:val="both"/>
        <w:rPr/>
      </w:pPr>
      <w:r>
        <w:rPr/>
        <w:t>Contrary to the PX's contention that the collateral issue is controlled by the April 6 Order, this matter is instead controlled by the PX's Tariff.  That Tariff provides that the collateral of each Participant was intended only to cover its own defaults and cannot be withheld by the PX where a Participant has no current liability or future liability.  Thus, the PX is required by its Tariff to return the collateral to its market participants upon demand once their obligations have been fulfilled, without further delay.</w:t>
      </w:r>
    </w:p>
    <w:p>
      <w:pPr>
        <w:pStyle w:val="Normal"/>
        <w:widowControl/>
        <w:spacing w:lineRule="auto" w:line="480"/>
        <w:ind w:firstLine="720" w:end="0"/>
        <w:jc w:val="both"/>
        <w:rPr/>
      </w:pPr>
      <w:r>
        <w:rPr/>
        <w:t xml:space="preserve">Schedule 2 of the PX's Tariff requires PX Participants to post collateral as security for potential defaults arising from a Participant's failure to fulfill its own obligations, not those of other Participants.  This is one of the initial financial requirements that a Core Market Participant must previously have met "in order to become certified to trade in the Core Market."  </w:t>
      </w:r>
      <w:r>
        <w:rPr>
          <w:i/>
        </w:rPr>
        <w:t>PX Tariff</w:t>
      </w:r>
      <w:r>
        <w:rPr/>
        <w:t xml:space="preserve">, Schedule 2, Section 1.1.  The amount of the collateral required for each Participant, which can take the form of a letter of credit, surety bond, or parental guarantee, is limited to the degree of trading activity in excess of the unsecured line of credit granted to the Participant in the Core and CTS Markets.  </w:t>
      </w:r>
      <w:r>
        <w:rPr>
          <w:i/>
        </w:rPr>
        <w:t>Id.</w:t>
      </w:r>
      <w:r>
        <w:rPr/>
        <w:t xml:space="preserve"> at Section 1.2.  Thus, Section 2 of the PX Tariff states that "[e]ach PX Participant shall post collateral for 100% of</w:t>
      </w:r>
      <w:r>
        <w:rPr>
          <w:i/>
        </w:rPr>
        <w:t xml:space="preserve"> its requirements</w:t>
      </w:r>
      <w:r>
        <w:rPr/>
        <w:t xml:space="preserve"> in excess of the unsecured line of credit in order to participate in the CTS and Core Markets."  </w:t>
      </w:r>
      <w:r>
        <w:rPr>
          <w:i/>
        </w:rPr>
        <w:t>Id.</w:t>
      </w:r>
      <w:r>
        <w:rPr/>
        <w:t xml:space="preserve"> at Section 2 (emphasis added).  </w:t>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widowControl/>
        <w:spacing w:lineRule="auto" w:line="480"/>
        <w:ind w:firstLine="720" w:end="0"/>
        <w:jc w:val="both"/>
        <w:rPr/>
      </w:pPr>
      <w:r>
        <w:rPr/>
        <w:t xml:space="preserve">The nexus between the collateral requirement and each Participant's own activities in PX markets is embodied in a number of provisions throughout Schedule 2.  For example, the Tariff provides for the suspension of future trading if a Participant fails to post the required collateral as determined by the PX during its ongoing financial monitoring and surveillance as to whether the Participant continues to meet the financial requirements of the PX.  </w:t>
      </w:r>
      <w:r>
        <w:rPr>
          <w:i/>
        </w:rPr>
        <w:t>See PX Tariff</w:t>
      </w:r>
      <w:r>
        <w:rPr/>
        <w:t xml:space="preserve">, Schedule 2, Section 1.7.  Section 4.4 provides for prepayments and states that "[p]repayments shall reduce the Participant's daily collateral only to the extent of the unpaid PX invoice."  </w:t>
      </w:r>
      <w:r>
        <w:rPr>
          <w:i/>
        </w:rPr>
        <w:t>Id.</w:t>
      </w:r>
      <w:r>
        <w:rPr/>
        <w:t xml:space="preserve"> at Section 4.4.  Most importantly, the amount of the required collateral is based on the level of each Participant's activities in the Markets.  </w:t>
      </w:r>
      <w:r>
        <w:rPr>
          <w:i/>
        </w:rPr>
        <w:t>Id</w:t>
      </w:r>
      <w:r>
        <w:rPr/>
        <w:t xml:space="preserve">. at Section 2.2.  Specifically, the PX's Tariff provides the following calculations for determining the amount of collateral required of each PX Participant: </w:t>
      </w:r>
    </w:p>
    <w:p>
      <w:pPr>
        <w:pStyle w:val="Normal"/>
        <w:widowControl/>
        <w:spacing w:lineRule="auto" w:line="480"/>
        <w:ind w:firstLine="720" w:start="720" w:end="720"/>
        <w:jc w:val="both"/>
        <w:rPr>
          <w:b/>
        </w:rPr>
      </w:pPr>
      <w:r>
        <w:rPr>
          <w:b/>
        </w:rPr>
        <w:t>Day-Ahead/Day-Of Market</w:t>
      </w:r>
    </w:p>
    <w:p>
      <w:pPr>
        <w:pStyle w:val="Normal"/>
        <w:widowControl/>
        <w:spacing w:lineRule="auto" w:line="480"/>
        <w:ind w:start="1440" w:end="1440"/>
        <w:jc w:val="both"/>
        <w:rPr/>
      </w:pPr>
      <w:r>
        <w:rPr/>
        <w:t xml:space="preserve">Each PX Participant shall maintain sufficient collateral to cover </w:t>
      </w:r>
      <w:r>
        <w:rPr>
          <w:i/>
        </w:rPr>
        <w:t>its aggregate outstanding liabilities</w:t>
      </w:r>
      <w:r>
        <w:rPr/>
        <w:t xml:space="preserve"> in the Day-Ahead and Day-Of Markets to and from the PX between cash clearing cycles or during the period in which the liabilities are incurred and when payment is billed and settled.  The collateral requirement is calculated at the transaction level and thus may vary by transaction type.</w:t>
      </w:r>
    </w:p>
    <w:p>
      <w:pPr>
        <w:pStyle w:val="Normal"/>
        <w:widowControl/>
        <w:spacing w:lineRule="auto" w:line="480"/>
        <w:ind w:firstLine="720" w:start="720" w:end="720"/>
        <w:jc w:val="both"/>
        <w:rPr>
          <w:b/>
        </w:rPr>
      </w:pPr>
      <w:r>
        <w:rPr>
          <w:b/>
        </w:rPr>
        <w:t>Real Time Market</w:t>
      </w:r>
    </w:p>
    <w:p>
      <w:pPr>
        <w:pStyle w:val="Normal"/>
        <w:widowControl/>
        <w:ind w:start="1440" w:end="1440"/>
        <w:jc w:val="both"/>
        <w:rPr/>
      </w:pPr>
      <w:r>
        <w:rPr/>
        <w:t xml:space="preserve">Each PX Participant shall maintain sufficient collateral to cover the estimated potential Real Time aggregate outstanding liabilities to and from the PX between cash clearing cycles or during the true-up period in which the liabilities are incurred and when payment is billed and settled.  The collateral requirement is estimated at the transaction level and by a PX Participant's Real Time exposure history and thus may vary by transaction type and among PX Participants.  </w:t>
      </w:r>
    </w:p>
    <w:p>
      <w:pPr>
        <w:pStyle w:val="Normal"/>
        <w:widowControl/>
        <w:jc w:val="both"/>
        <w:rPr/>
      </w:pPr>
      <w:r>
        <w:rPr/>
      </w:r>
    </w:p>
    <w:p>
      <w:pPr>
        <w:pStyle w:val="Normal"/>
        <w:widowControl/>
        <w:spacing w:lineRule="auto" w:line="480"/>
        <w:jc w:val="both"/>
        <w:rPr/>
      </w:pPr>
      <w:r>
        <w:rPr>
          <w:i/>
        </w:rPr>
        <w:t>Id.</w:t>
      </w:r>
      <w:r>
        <w:rPr/>
        <w:t xml:space="preserve"> (emphasis added).  The Tariff provides no right for the PX to retain the collateral to cover the liabilities of other Participants.</w:t>
      </w:r>
    </w:p>
    <w:p>
      <w:pPr>
        <w:pStyle w:val="Normal"/>
        <w:widowControl/>
        <w:spacing w:lineRule="auto" w:line="480"/>
        <w:ind w:firstLine="720" w:end="0"/>
        <w:jc w:val="both"/>
        <w:rPr/>
      </w:pPr>
      <w:r>
        <w:rPr/>
        <w:t xml:space="preserve">As can be seen, the sole purpose of the collateral requirement is to provide security for each Participant's potential liabilities to the PX.  Once those liabilities are extinguished, as is the case now that the PX has terminated its operations, </w:t>
      </w:r>
      <w:r>
        <w:rPr>
          <w:i/>
        </w:rPr>
        <w:t>see supra</w:t>
      </w:r>
      <w:r>
        <w:rPr/>
        <w:t xml:space="preserve"> n. 5, there is no basis under its Tariff for it to retain the collateral.   The PX is thus required as a matter of law to immediately return the collateral of non-defaulting PX Participants in excess of the remaining obligations, if any, that they may have to the PX</w:t>
      </w:r>
    </w:p>
    <w:p>
      <w:pPr>
        <w:pStyle w:val="Normal"/>
        <w:widowControl/>
        <w:jc w:val="center"/>
        <w:rPr>
          <w:b/>
          <w:sz w:val="26"/>
        </w:rPr>
      </w:pPr>
      <w:r>
        <w:rPr>
          <w:b/>
          <w:sz w:val="26"/>
        </w:rPr>
        <w:t>IV.</w:t>
      </w:r>
    </w:p>
    <w:p>
      <w:pPr>
        <w:pStyle w:val="Normal"/>
        <w:widowControl/>
        <w:jc w:val="center"/>
        <w:rPr>
          <w:b/>
          <w:sz w:val="26"/>
        </w:rPr>
      </w:pPr>
      <w:r>
        <w:rPr>
          <w:b/>
          <w:sz w:val="26"/>
        </w:rPr>
        <w:t>CONCLUSION</w:t>
      </w:r>
    </w:p>
    <w:p>
      <w:pPr>
        <w:pStyle w:val="Normal"/>
        <w:widowControl/>
        <w:jc w:val="center"/>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widowControl/>
        <w:spacing w:lineRule="auto" w:line="480"/>
        <w:ind w:firstLine="720" w:end="0"/>
        <w:jc w:val="both"/>
        <w:rPr/>
      </w:pPr>
      <w:r>
        <w:rPr/>
        <w:t>For the foregoing reasons, Complainants request that the Commission clarify that nothing in its April 6 Order affects or prevents the PX from returning the collateral pledged by PX Participants to the PX in connection with each Participant's right to participate in the PX's markets.  Complainants further request that the Commission enforce the PX's obligation under its FERC Tariff to return all of the collateral to Participants that have no remaining liability to the PX or, with regard to Participants that remain obligated to the PX, in whole or part, to return the collateral in excess of any remaining liability.  In order to prevent further damage to California's electricity markets and to prevent further injury to the non-defaulting Participants, Complainants request that the Commission provide the foregoing relief on an expeditious basis.  We propose that it be ordered to do so within 30 days of the date of this motion.</w:t>
      </w:r>
    </w:p>
    <w:p>
      <w:pPr>
        <w:pStyle w:val="Normal"/>
        <w:widowControl/>
        <w:jc w:val="both"/>
        <w:rPr/>
      </w:pPr>
      <w:r>
        <w:rPr/>
        <w:t xml:space="preserve">   </w:t>
      </w:r>
      <w:r>
        <w:rPr>
          <w:b/>
        </w:rPr>
        <w:tab/>
        <w:tab/>
        <w:tab/>
        <w:tab/>
        <w:tab/>
        <w:tab/>
        <w:tab/>
      </w:r>
      <w:r>
        <w:rPr/>
        <w:t>Respectfully submitted,</w:t>
      </w:r>
    </w:p>
    <w:p>
      <w:pPr>
        <w:pStyle w:val="Normal"/>
        <w:widowControl/>
        <w:jc w:val="both"/>
        <w:rPr/>
      </w:pPr>
      <w:r>
        <w:rPr/>
      </w:r>
    </w:p>
    <w:p>
      <w:pPr>
        <w:pStyle w:val="Normal"/>
        <w:widowControl/>
        <w:jc w:val="both"/>
        <w:rPr/>
      </w:pPr>
      <w:r>
        <w:rPr/>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0" w:end="0"/>
        <w:jc w:val="both"/>
        <w:rPr/>
      </w:pPr>
      <w:r>
        <w:rPr/>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____________________________________</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Jeffrey D. Watkiss</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Ronald N. Carroll</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Andrea M. Settanni</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Bracewell &amp; Patterson, L.L.P.</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sz w:val="20"/>
        </w:rPr>
      </w:pPr>
      <w:r>
        <w:rPr>
          <w:sz w:val="20"/>
        </w:rPr>
        <w:t>A Registered Limited Liability Partnership</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2000 K Street, N.W., Suite 500</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Washington, D.C.,  20006</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pPr>
      <w:r>
        <w:rPr/>
        <w:t xml:space="preserve">(202) 828-5800 </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0" w:end="0"/>
        <w:jc w:val="both"/>
        <w:rPr/>
      </w:pPr>
      <w:r>
        <w:rPr/>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i/>
          <w:i/>
        </w:rPr>
      </w:pPr>
      <w:r>
        <w:rPr>
          <w:i/>
        </w:rPr>
        <w:t>Attorneys for</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i/>
          <w:i/>
        </w:rPr>
      </w:pPr>
      <w:r>
        <w:rPr>
          <w:i/>
        </w:rPr>
        <w:t>Coral Power, L.L.C. and</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start="0" w:end="0"/>
        <w:jc w:val="both"/>
        <w:rPr>
          <w:i/>
          <w:i/>
        </w:rPr>
      </w:pPr>
      <w:r>
        <w:rPr>
          <w:i/>
        </w:rPr>
        <w:t>Enron Power Marketing, Inc.</w:t>
      </w:r>
    </w:p>
    <w:p>
      <w:pPr>
        <w:pStyle w:val="Normal"/>
        <w:widowControl/>
        <w:jc w:val="both"/>
        <w:rPr>
          <w:i/>
          <w:i/>
        </w:rPr>
      </w:pPr>
      <w:r>
        <w:rPr>
          <w:i/>
        </w:rPr>
      </w:r>
    </w:p>
    <w:p>
      <w:pPr>
        <w:pStyle w:val="Normal"/>
        <w:widowControl/>
        <w:jc w:val="both"/>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numPr>
          <w:ilvl w:val="0"/>
          <w:numId w:val="0"/>
        </w:numPr>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numPr>
          <w:ilvl w:val="0"/>
          <w:numId w:val="0"/>
        </w:numPr>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numPr>
          <w:ilvl w:val="0"/>
          <w:numId w:val="0"/>
        </w:numPr>
        <w:rPr/>
      </w:pPr>
      <w:r>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tbl>
      <w:tblPr>
        <w:tblW w:w="9576" w:type="dxa"/>
        <w:jc w:val="start"/>
        <w:tblInd w:w="108"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FFFFFF"/>
              <w:start w:val="single" w:sz="6" w:space="0" w:color="FFFFFF"/>
              <w:bottom w:val="single" w:sz="6" w:space="0" w:color="FFFFFF"/>
              <w:end w:val="single" w:sz="6" w:space="0" w:color="FFFFFF"/>
            </w:tcBorders>
          </w:tcPr>
          <w:p>
            <w:pPr>
              <w:pStyle w:val="Normal"/>
              <w:widowControl/>
              <w:snapToGrid w:val="false"/>
              <w:rPr/>
            </w:pPr>
            <w:r>
              <w:rPr/>
            </w:r>
          </w:p>
          <w:p>
            <w:pPr>
              <w:pStyle w:val="Normal"/>
              <w:widowControl/>
              <w:rPr/>
            </w:pPr>
            <w:r>
              <w:rPr/>
              <w:t>______________________________</w:t>
            </w:r>
          </w:p>
          <w:p>
            <w:pPr>
              <w:pStyle w:val="Normal"/>
              <w:rPr/>
            </w:pPr>
            <w:r>
              <w:rPr/>
              <w:t>Gary D. Bachman</w:t>
            </w:r>
          </w:p>
          <w:p>
            <w:pPr>
              <w:pStyle w:val="Normal"/>
              <w:rPr/>
            </w:pPr>
            <w:r>
              <w:rPr/>
              <w:t>Howard E. Shapiro</w:t>
            </w:r>
          </w:p>
          <w:p>
            <w:pPr>
              <w:pStyle w:val="Normal"/>
              <w:rPr/>
            </w:pPr>
            <w:r>
              <w:rPr/>
              <w:t>Cheryl Feik Ryan</w:t>
            </w:r>
          </w:p>
          <w:p>
            <w:pPr>
              <w:pStyle w:val="Normal"/>
              <w:rPr/>
            </w:pPr>
            <w:r>
              <w:rPr/>
              <w:t>Van Ness Feldman, P.C.</w:t>
            </w:r>
          </w:p>
          <w:p>
            <w:pPr>
              <w:pStyle w:val="Normal"/>
              <w:rPr/>
            </w:pPr>
            <w:r>
              <w:rPr/>
              <w:t>1050 Thomas Jefferson Street, N.W.Washington, D.C. 20007</w:t>
            </w:r>
          </w:p>
          <w:p>
            <w:pPr>
              <w:pStyle w:val="Normal"/>
              <w:rPr/>
            </w:pPr>
            <w:r>
              <w:rPr/>
              <w:t>(202) 298-1800</w:t>
            </w:r>
          </w:p>
          <w:p>
            <w:pPr>
              <w:pStyle w:val="Normal"/>
              <w:rPr/>
            </w:pPr>
            <w:r>
              <w:rPr/>
            </w:r>
          </w:p>
          <w:p>
            <w:pPr>
              <w:pStyle w:val="Normal"/>
              <w:rPr/>
            </w:pPr>
            <w:r>
              <w:rPr/>
              <w:t>_______________________________</w:t>
            </w:r>
          </w:p>
          <w:p>
            <w:pPr>
              <w:pStyle w:val="Normal"/>
              <w:rPr/>
            </w:pPr>
            <w:r>
              <w:rPr/>
              <w:t>Robert H. Loeffler</w:t>
            </w:r>
          </w:p>
          <w:p>
            <w:pPr>
              <w:pStyle w:val="Normal"/>
              <w:rPr/>
            </w:pPr>
            <w:r>
              <w:rPr/>
              <w:t>Katherine Zeitlin</w:t>
            </w:r>
          </w:p>
          <w:p>
            <w:pPr>
              <w:pStyle w:val="Normal"/>
              <w:rPr/>
            </w:pPr>
            <w:r>
              <w:rPr/>
              <w:t>Morrison &amp; Foerster</w:t>
            </w:r>
          </w:p>
          <w:p>
            <w:pPr>
              <w:pStyle w:val="Normal"/>
              <w:rPr/>
            </w:pPr>
            <w:r>
              <w:rPr/>
              <w:t>Suite 5500</w:t>
            </w:r>
          </w:p>
          <w:p>
            <w:pPr>
              <w:pStyle w:val="Normal"/>
              <w:rPr/>
            </w:pPr>
            <w:r>
              <w:rPr/>
              <w:t>2000 Pennsylvania N.W.</w:t>
              <w:tab/>
            </w:r>
          </w:p>
          <w:p>
            <w:pPr>
              <w:pStyle w:val="Normal"/>
              <w:rPr/>
            </w:pPr>
            <w:r>
              <w:rPr/>
              <w:t>Washington, D.C. 20006</w:t>
            </w:r>
          </w:p>
          <w:p>
            <w:pPr>
              <w:pStyle w:val="Normal"/>
              <w:rPr/>
            </w:pPr>
            <w:r>
              <w:rPr/>
              <w:t>(202)-887-1506</w:t>
            </w:r>
          </w:p>
          <w:p>
            <w:pPr>
              <w:pStyle w:val="Normal"/>
              <w:rPr>
                <w:i/>
                <w:i/>
              </w:rPr>
            </w:pPr>
            <w:r>
              <w:rPr>
                <w:i/>
              </w:rPr>
            </w:r>
          </w:p>
          <w:p>
            <w:pPr>
              <w:pStyle w:val="Normal"/>
              <w:widowControl/>
              <w:rPr>
                <w:i/>
                <w:i/>
              </w:rPr>
            </w:pPr>
            <w:r>
              <w:rPr>
                <w:i/>
              </w:rPr>
              <w:t>Attorneys for Avista Energy, Inc.</w:t>
            </w:r>
          </w:p>
          <w:p>
            <w:pPr>
              <w:pStyle w:val="Normal"/>
              <w:widowControl/>
              <w:rPr>
                <w:i/>
                <w:i/>
              </w:rPr>
            </w:pPr>
            <w:r>
              <w:rPr>
                <w:i/>
              </w:rPr>
            </w:r>
          </w:p>
          <w:p>
            <w:pPr>
              <w:pStyle w:val="Normal"/>
              <w:rPr>
                <w:i/>
                <w:i/>
              </w:rPr>
            </w:pPr>
            <w:r>
              <w:rPr>
                <w:i/>
              </w:rPr>
            </w:r>
          </w:p>
          <w:p>
            <w:pPr>
              <w:pStyle w:val="Normal"/>
              <w:widowControl/>
              <w:rPr/>
            </w:pPr>
            <w:r>
              <w:rPr/>
            </w:r>
          </w:p>
          <w:p>
            <w:pPr>
              <w:pStyle w:val="Normal"/>
              <w:rPr/>
            </w:pPr>
            <w:r>
              <w:rPr/>
            </w:r>
          </w:p>
          <w:p>
            <w:pPr>
              <w:pStyle w:val="footnotetex"/>
              <w:widowControl/>
              <w:rPr>
                <w:sz w:val="24"/>
              </w:rPr>
            </w:pPr>
            <w:r>
              <w:rPr>
                <w:sz w:val="24"/>
              </w:rPr>
              <w:t>_________________________________</w:t>
            </w:r>
          </w:p>
          <w:p>
            <w:pPr>
              <w:pStyle w:val="Normal"/>
              <w:widowControl/>
              <w:rPr/>
            </w:pPr>
            <w:r>
              <w:rPr/>
              <w:t>Richard Beitler, Esq.</w:t>
            </w:r>
          </w:p>
          <w:p>
            <w:pPr>
              <w:pStyle w:val="Normal"/>
              <w:widowControl/>
              <w:rPr/>
            </w:pPr>
            <w:r>
              <w:rPr/>
              <w:t>Sempra Energy Trading Corp.</w:t>
            </w:r>
          </w:p>
          <w:p>
            <w:pPr>
              <w:pStyle w:val="Normal"/>
              <w:rPr/>
            </w:pPr>
            <w:r>
              <w:rPr/>
              <w:t>58 Commerce Road</w:t>
            </w:r>
          </w:p>
          <w:p>
            <w:pPr>
              <w:pStyle w:val="Normal"/>
              <w:rPr/>
            </w:pPr>
            <w:r>
              <w:rPr/>
              <w:t>Stamford, CT 06902</w:t>
            </w:r>
          </w:p>
          <w:p>
            <w:pPr>
              <w:pStyle w:val="footnotetex"/>
              <w:widowControl/>
              <w:rPr>
                <w:sz w:val="24"/>
              </w:rPr>
            </w:pPr>
            <w:r>
              <w:rPr>
                <w:sz w:val="24"/>
              </w:rPr>
              <w:t>(203) 355-5403</w:t>
            </w:r>
          </w:p>
          <w:p>
            <w:pPr>
              <w:pStyle w:val="footnotetex"/>
              <w:widowControl/>
              <w:rPr>
                <w:sz w:val="24"/>
              </w:rPr>
            </w:pPr>
            <w:r>
              <w:rPr>
                <w:sz w:val="24"/>
              </w:rPr>
            </w:r>
          </w:p>
          <w:p>
            <w:pPr>
              <w:pStyle w:val="footnotetex"/>
              <w:widowControl/>
              <w:rPr>
                <w:sz w:val="24"/>
              </w:rPr>
            </w:pPr>
            <w:r>
              <w:rPr>
                <w:sz w:val="24"/>
              </w:rPr>
            </w:r>
          </w:p>
          <w:p>
            <w:pPr>
              <w:pStyle w:val="footnotetex"/>
              <w:widowControl/>
              <w:rPr>
                <w:sz w:val="24"/>
              </w:rPr>
            </w:pPr>
            <w:r>
              <w:rPr>
                <w:sz w:val="24"/>
              </w:rPr>
            </w:r>
          </w:p>
          <w:p>
            <w:pPr>
              <w:pStyle w:val="footnotetex"/>
              <w:widowControl/>
              <w:rPr>
                <w:sz w:val="24"/>
              </w:rPr>
            </w:pPr>
            <w:r>
              <w:rPr>
                <w:sz w:val="24"/>
              </w:rPr>
            </w:r>
          </w:p>
          <w:p>
            <w:pPr>
              <w:pStyle w:val="footnotetex"/>
              <w:widowControl/>
              <w:rPr>
                <w:sz w:val="24"/>
              </w:rPr>
            </w:pPr>
            <w:r>
              <w:rPr>
                <w:sz w:val="24"/>
              </w:rPr>
              <w:t>________________________________</w:t>
            </w:r>
          </w:p>
          <w:p>
            <w:pPr>
              <w:pStyle w:val="Normal"/>
              <w:widowControl/>
              <w:rPr/>
            </w:pPr>
            <w:r>
              <w:rPr/>
              <w:t>Julia R. Richardson</w:t>
            </w:r>
          </w:p>
          <w:p>
            <w:pPr>
              <w:pStyle w:val="Normal"/>
              <w:widowControl/>
              <w:rPr/>
            </w:pPr>
            <w:r>
              <w:rPr/>
              <w:t>Van Ness Feldman, P.C.</w:t>
            </w:r>
          </w:p>
          <w:p>
            <w:pPr>
              <w:pStyle w:val="Normal"/>
              <w:rPr/>
            </w:pPr>
            <w:r>
              <w:rPr/>
              <w:t>1050 Thomas Jefferson Street, N.W.</w:t>
            </w:r>
          </w:p>
          <w:p>
            <w:pPr>
              <w:pStyle w:val="Normal"/>
              <w:rPr/>
            </w:pPr>
            <w:r>
              <w:rPr/>
              <w:t>Suite 700</w:t>
            </w:r>
          </w:p>
          <w:p>
            <w:pPr>
              <w:pStyle w:val="Normal"/>
              <w:rPr/>
            </w:pPr>
            <w:r>
              <w:rPr/>
              <w:t>Washington, D.C. 20007</w:t>
            </w:r>
          </w:p>
          <w:p>
            <w:pPr>
              <w:pStyle w:val="Normal"/>
              <w:rPr/>
            </w:pPr>
            <w:r>
              <w:rPr/>
              <w:t>(202) 298-1937</w:t>
            </w:r>
          </w:p>
          <w:p>
            <w:pPr>
              <w:pStyle w:val="Normal"/>
              <w:rPr>
                <w:rFonts w:ascii="MS Sans Serif" w:hAnsi="MS Sans Serif" w:cs="MS Sans Serif"/>
              </w:rPr>
            </w:pPr>
            <w:r>
              <w:rPr>
                <w:rFonts w:cs="MS Sans Serif" w:ascii="MS Sans Serif" w:hAnsi="MS Sans Serif"/>
              </w:rPr>
            </w:r>
          </w:p>
          <w:p>
            <w:pPr>
              <w:pStyle w:val="footnotetex"/>
              <w:widowControl/>
              <w:rPr>
                <w:rFonts w:ascii="MS Sans Serif" w:hAnsi="MS Sans Serif" w:cs="MS Sans Serif"/>
                <w:sz w:val="24"/>
              </w:rPr>
            </w:pPr>
            <w:r>
              <w:rPr>
                <w:rFonts w:cs="MS Sans Serif" w:ascii="MS Sans Serif" w:hAnsi="MS Sans Serif"/>
                <w:sz w:val="24"/>
              </w:rPr>
            </w:r>
          </w:p>
          <w:p>
            <w:pPr>
              <w:pStyle w:val="footnotetex"/>
              <w:widowControl/>
              <w:rPr>
                <w:sz w:val="24"/>
              </w:rPr>
            </w:pPr>
            <w:r>
              <w:rPr>
                <w:sz w:val="24"/>
              </w:rPr>
            </w:r>
          </w:p>
          <w:p>
            <w:pPr>
              <w:pStyle w:val="Normal"/>
              <w:widowControl/>
              <w:rPr>
                <w:sz w:val="24"/>
              </w:rPr>
            </w:pPr>
            <w:r>
              <w:rPr>
                <w:sz w:val="24"/>
              </w:rPr>
            </w:r>
          </w:p>
          <w:p>
            <w:pPr>
              <w:pStyle w:val="Normal"/>
              <w:widowControl/>
              <w:rPr/>
            </w:pPr>
            <w:r>
              <w:rPr/>
            </w:r>
          </w:p>
          <w:p>
            <w:pPr>
              <w:pStyle w:val="Normal"/>
              <w:rPr/>
            </w:pPr>
            <w:r>
              <w:rPr/>
              <w:t>_________________________________</w:t>
            </w:r>
          </w:p>
          <w:p>
            <w:pPr>
              <w:pStyle w:val="Normal"/>
              <w:rPr/>
            </w:pPr>
            <w:r>
              <w:rPr/>
              <w:t>Melvin A. Brosterman, Esq.</w:t>
            </w:r>
          </w:p>
          <w:p>
            <w:pPr>
              <w:pStyle w:val="Normal"/>
              <w:rPr/>
            </w:pPr>
            <w:r>
              <w:rPr/>
              <w:t>Stroock &amp; Stroock &amp; Lavan LLP</w:t>
            </w:r>
          </w:p>
          <w:p>
            <w:pPr>
              <w:pStyle w:val="Normal"/>
              <w:rPr/>
            </w:pPr>
            <w:r>
              <w:rPr/>
              <w:t>180 Maiden Lane</w:t>
            </w:r>
          </w:p>
          <w:p>
            <w:pPr>
              <w:pStyle w:val="Normal"/>
              <w:rPr/>
            </w:pPr>
            <w:r>
              <w:rPr/>
              <w:t>New York, New York 10038</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w:t>
            </w:r>
          </w:p>
          <w:p>
            <w:pPr>
              <w:pStyle w:val="Normal"/>
              <w:rPr/>
            </w:pPr>
            <w:r>
              <w:rPr/>
              <w:t>Alan Z. Yudkowsky, Esq.</w:t>
            </w:r>
          </w:p>
          <w:p>
            <w:pPr>
              <w:pStyle w:val="Normal"/>
              <w:rPr/>
            </w:pPr>
            <w:r>
              <w:rPr/>
              <w:t>Stroock &amp; Stroock &amp; Lavan LLP</w:t>
            </w:r>
          </w:p>
          <w:p>
            <w:pPr>
              <w:pStyle w:val="Normal"/>
              <w:rPr/>
            </w:pPr>
            <w:r>
              <w:rPr/>
              <w:t>2029 Century Park East, Suite 1800</w:t>
            </w:r>
          </w:p>
          <w:p>
            <w:pPr>
              <w:pStyle w:val="Normal"/>
              <w:rPr/>
            </w:pPr>
            <w:r>
              <w:rPr/>
              <w:t>Los Angeles, California 90067</w:t>
            </w:r>
          </w:p>
          <w:p>
            <w:pPr>
              <w:pStyle w:val="Normal"/>
              <w:rPr/>
            </w:pPr>
            <w:r>
              <w:rPr/>
              <w:t>(310) 556-5829 (voice)</w:t>
            </w:r>
          </w:p>
          <w:p>
            <w:pPr>
              <w:pStyle w:val="footnotetex"/>
              <w:widowControl/>
              <w:rPr>
                <w:sz w:val="24"/>
              </w:rPr>
            </w:pPr>
            <w:r>
              <w:rPr>
                <w:sz w:val="24"/>
              </w:rPr>
            </w:r>
          </w:p>
          <w:p>
            <w:pPr>
              <w:pStyle w:val="Normal"/>
              <w:widowControl/>
              <w:rPr>
                <w:i/>
                <w:i/>
              </w:rPr>
            </w:pPr>
            <w:r>
              <w:rPr>
                <w:i/>
              </w:rPr>
              <w:t>Attorneys for Sempra Energy Trading Corp.</w:t>
            </w:r>
          </w:p>
          <w:p>
            <w:pPr>
              <w:pStyle w:val="Normal"/>
              <w:widowControl/>
              <w:rPr>
                <w:i/>
                <w:i/>
              </w:rPr>
            </w:pPr>
            <w:r>
              <w:rPr>
                <w:i/>
              </w:rPr>
            </w:r>
          </w:p>
          <w:p>
            <w:pPr>
              <w:pStyle w:val="footnotetex"/>
              <w:widowControl/>
              <w:rPr>
                <w:i/>
                <w:i/>
                <w:sz w:val="24"/>
              </w:rPr>
            </w:pPr>
            <w:r>
              <w:rPr>
                <w:i/>
                <w:sz w:val="24"/>
              </w:rPr>
            </w:r>
          </w:p>
          <w:p>
            <w:pPr>
              <w:pStyle w:val="footnotetex"/>
              <w:widowControl/>
              <w:rPr>
                <w:i/>
                <w:i/>
                <w:sz w:val="24"/>
              </w:rPr>
            </w:pPr>
            <w:r>
              <w:rPr>
                <w:i/>
                <w:sz w:val="24"/>
              </w:rPr>
              <w:t>_________________________________</w:t>
            </w:r>
          </w:p>
          <w:p>
            <w:pPr>
              <w:pStyle w:val="footnotetex"/>
              <w:widowControl/>
              <w:rPr>
                <w:sz w:val="24"/>
              </w:rPr>
            </w:pPr>
            <w:r>
              <w:rPr>
                <w:sz w:val="24"/>
              </w:rPr>
              <w:t>David M. Perlman</w:t>
            </w:r>
          </w:p>
          <w:p>
            <w:pPr>
              <w:pStyle w:val="footnotetex"/>
              <w:widowControl/>
              <w:rPr>
                <w:sz w:val="24"/>
              </w:rPr>
            </w:pPr>
            <w:r>
              <w:rPr>
                <w:sz w:val="24"/>
              </w:rPr>
              <w:t>General Counsel</w:t>
            </w:r>
          </w:p>
          <w:p>
            <w:pPr>
              <w:pStyle w:val="footnotetex"/>
              <w:widowControl/>
              <w:rPr>
                <w:sz w:val="24"/>
              </w:rPr>
            </w:pPr>
            <w:r>
              <w:rPr>
                <w:sz w:val="24"/>
              </w:rPr>
              <w:t>Randal D. Osteen</w:t>
            </w:r>
          </w:p>
          <w:p>
            <w:pPr>
              <w:pStyle w:val="footnotetex"/>
              <w:widowControl/>
              <w:rPr>
                <w:sz w:val="24"/>
              </w:rPr>
            </w:pPr>
            <w:r>
              <w:rPr>
                <w:sz w:val="24"/>
              </w:rPr>
              <w:t>Counsel</w:t>
            </w:r>
          </w:p>
          <w:p>
            <w:pPr>
              <w:pStyle w:val="Normal"/>
              <w:widowControl/>
              <w:rPr/>
            </w:pPr>
            <w:r>
              <w:rPr/>
              <w:t>Constellation Power Source</w:t>
            </w:r>
          </w:p>
          <w:p>
            <w:pPr>
              <w:pStyle w:val="Normal"/>
              <w:widowControl/>
              <w:rPr/>
            </w:pPr>
            <w:r>
              <w:rPr/>
              <w:t>111 Market Place</w:t>
            </w:r>
          </w:p>
          <w:p>
            <w:pPr>
              <w:pStyle w:val="Normal"/>
              <w:rPr/>
            </w:pPr>
            <w:r>
              <w:rPr/>
              <w:t>Baltimore, MD  21202</w:t>
            </w:r>
          </w:p>
          <w:p>
            <w:pPr>
              <w:pStyle w:val="Normal"/>
              <w:rPr/>
            </w:pPr>
            <w:r>
              <w:rPr/>
              <w:t>(410) 468-3490 (voice)</w:t>
            </w:r>
          </w:p>
          <w:p>
            <w:pPr>
              <w:pStyle w:val="Normal"/>
              <w:rPr/>
            </w:pPr>
            <w:r>
              <w:rPr/>
            </w:r>
          </w:p>
          <w:p>
            <w:pPr>
              <w:pStyle w:val="Normal"/>
              <w:widowControl/>
              <w:rPr>
                <w:i/>
                <w:i/>
              </w:rPr>
            </w:pPr>
            <w:r>
              <w:rPr>
                <w:i/>
              </w:rPr>
              <w:t>Attorneys for Constellation Power Source</w:t>
            </w:r>
          </w:p>
          <w:p>
            <w:pPr>
              <w:pStyle w:val="Normal"/>
              <w:widowControl/>
              <w:rPr/>
            </w:pPr>
            <w:r>
              <w:rPr/>
            </w:r>
          </w:p>
          <w:p>
            <w:pPr>
              <w:pStyle w:val="Normal"/>
              <w:widowControl/>
              <w:rPr/>
            </w:pPr>
            <w:r>
              <w:rPr/>
            </w:r>
          </w:p>
          <w:p>
            <w:pPr>
              <w:pStyle w:val="Normal"/>
              <w:widowControl/>
              <w:rPr/>
            </w:pPr>
            <w:r>
              <w:rPr/>
              <w:t>May __, 2001</w:t>
            </w:r>
          </w:p>
          <w:p>
            <w:pPr>
              <w:pStyle w:val="Normal"/>
              <w:widowControl/>
              <w:rPr/>
            </w:pPr>
            <w:r>
              <w:rPr/>
            </w:r>
          </w:p>
        </w:tc>
        <w:tc>
          <w:tcPr>
            <w:tcW w:w="4788" w:type="dxa"/>
            <w:tcBorders>
              <w:top w:val="single" w:sz="6" w:space="0" w:color="FFFFFF"/>
              <w:start w:val="single" w:sz="6" w:space="0" w:color="FFFFFF"/>
              <w:bottom w:val="single" w:sz="6" w:space="0" w:color="FFFFFF"/>
              <w:end w:val="single" w:sz="6" w:space="0" w:color="FFFFFF"/>
            </w:tcBorders>
          </w:tcPr>
          <w:p>
            <w:pPr>
              <w:pStyle w:val="Normal"/>
              <w:widowControl/>
              <w:snapToGrid w:val="false"/>
              <w:rPr/>
            </w:pPr>
            <w:r>
              <w:rPr/>
            </w:r>
          </w:p>
          <w:p>
            <w:pPr>
              <w:pStyle w:val="Normal"/>
              <w:widowControl/>
              <w:rPr/>
            </w:pPr>
            <w:r>
              <w:rPr/>
              <w:t xml:space="preserve">   </w:t>
            </w:r>
            <w:r>
              <w:rPr/>
              <w:t>_________________________________</w:t>
            </w:r>
          </w:p>
          <w:p>
            <w:pPr>
              <w:pStyle w:val="Normal"/>
              <w:widowControl/>
              <w:rPr/>
            </w:pPr>
            <w:r>
              <w:rPr/>
              <w:t xml:space="preserve">   </w:t>
            </w:r>
            <w:r>
              <w:rPr/>
              <w:t>Timothy F. Bolden</w:t>
            </w:r>
          </w:p>
          <w:p>
            <w:pPr>
              <w:pStyle w:val="Normal"/>
              <w:widowControl/>
              <w:rPr/>
            </w:pPr>
            <w:r>
              <w:rPr/>
              <w:t xml:space="preserve">   </w:t>
            </w:r>
            <w:r>
              <w:rPr/>
              <w:t>Pinnacle West Capital Corporation</w:t>
            </w:r>
          </w:p>
          <w:p>
            <w:pPr>
              <w:pStyle w:val="Normal"/>
              <w:widowControl/>
              <w:rPr/>
            </w:pPr>
            <w:r>
              <w:rPr/>
              <w:t xml:space="preserve">   </w:t>
            </w:r>
            <w:r>
              <w:rPr/>
              <w:t>400 North Fifth Street</w:t>
            </w:r>
          </w:p>
          <w:p>
            <w:pPr>
              <w:pStyle w:val="Normal"/>
              <w:widowControl/>
              <w:rPr/>
            </w:pPr>
            <w:r>
              <w:rPr/>
              <w:t xml:space="preserve">   </w:t>
            </w:r>
            <w:r>
              <w:rPr/>
              <w:t>Phoenix, Arizona  85004</w:t>
            </w:r>
          </w:p>
          <w:p>
            <w:pPr>
              <w:pStyle w:val="Normal"/>
              <w:widowControl/>
              <w:rPr/>
            </w:pPr>
            <w:r>
              <w:rPr/>
              <w:t xml:space="preserve">   </w:t>
            </w:r>
            <w:r>
              <w:rPr/>
              <w:t>(602) 250-3541 (voice)</w:t>
            </w:r>
          </w:p>
          <w:p>
            <w:pPr>
              <w:pStyle w:val="Normal"/>
              <w:widowControl/>
              <w:rPr/>
            </w:pPr>
            <w:r>
              <w:rPr/>
            </w:r>
          </w:p>
          <w:p>
            <w:pPr>
              <w:pStyle w:val="Normal"/>
              <w:widowControl/>
              <w:rPr>
                <w:i/>
                <w:i/>
              </w:rPr>
            </w:pPr>
            <w:r>
              <w:rPr/>
              <w:t xml:space="preserve">   </w:t>
            </w:r>
            <w:r>
              <w:rPr/>
              <w:t>_________________________________</w:t>
            </w:r>
          </w:p>
          <w:p>
            <w:pPr>
              <w:pStyle w:val="Normal"/>
              <w:widowControl/>
              <w:rPr/>
            </w:pPr>
            <w:r>
              <w:rPr/>
              <w:t xml:space="preserve">   </w:t>
            </w:r>
            <w:r>
              <w:rPr/>
              <w:t>John D. McGrane</w:t>
            </w:r>
          </w:p>
          <w:p>
            <w:pPr>
              <w:pStyle w:val="Normal"/>
              <w:widowControl/>
              <w:rPr/>
            </w:pPr>
            <w:r>
              <w:rPr/>
              <w:t xml:space="preserve">   </w:t>
            </w:r>
            <w:r>
              <w:rPr/>
              <w:t>Morgan Lewis &amp; Bockius LLP</w:t>
            </w:r>
          </w:p>
          <w:p>
            <w:pPr>
              <w:pStyle w:val="Normal"/>
              <w:rPr/>
            </w:pPr>
            <w:r>
              <w:rPr/>
              <w:t xml:space="preserve">   </w:t>
            </w:r>
            <w:r>
              <w:rPr/>
              <w:t>1800 M Street, NW</w:t>
            </w:r>
          </w:p>
          <w:p>
            <w:pPr>
              <w:pStyle w:val="Normal"/>
              <w:rPr/>
            </w:pPr>
            <w:r>
              <w:rPr/>
              <w:t xml:space="preserve">   </w:t>
            </w:r>
            <w:r>
              <w:rPr/>
              <w:t>Washington, DC  20036</w:t>
            </w:r>
          </w:p>
          <w:p>
            <w:pPr>
              <w:pStyle w:val="Normal"/>
              <w:rPr/>
            </w:pPr>
            <w:r>
              <w:rPr/>
              <w:t xml:space="preserve">  </w:t>
            </w:r>
            <w:r>
              <w:rPr/>
              <w:t>(202) 467-7621 (voice)</w:t>
            </w:r>
          </w:p>
          <w:p>
            <w:pPr>
              <w:pStyle w:val="Heading2"/>
              <w:widowControl/>
              <w:ind w:hanging="0" w:start="0"/>
              <w:rPr/>
            </w:pPr>
            <w:r>
              <w:rPr/>
              <w:t xml:space="preserve">  </w:t>
            </w:r>
          </w:p>
          <w:p>
            <w:pPr>
              <w:pStyle w:val="Heading2"/>
              <w:widowControl/>
              <w:ind w:hanging="0" w:start="0"/>
              <w:rPr/>
            </w:pPr>
            <w:r>
              <w:fldChar w:fldCharType="begin"/>
            </w:r>
            <w:r>
              <w:rPr/>
              <w:instrText xml:space="preserve"> TC "  " \l 2 </w:instrText>
            </w:r>
            <w:r>
              <w:rPr/>
              <w:fldChar w:fldCharType="separate"/>
            </w:r>
            <w:r>
              <w:rPr/>
            </w:r>
            <w:r>
              <w:rPr/>
              <w:fldChar w:fldCharType="end"/>
            </w:r>
          </w:p>
          <w:p>
            <w:pPr>
              <w:pStyle w:val="Heading2"/>
              <w:widowControl/>
              <w:ind w:hanging="0" w:start="0"/>
              <w:rPr/>
            </w:pPr>
            <w:r>
              <w:rPr/>
            </w:r>
          </w:p>
          <w:p>
            <w:pPr>
              <w:pStyle w:val="Heading2"/>
              <w:widowControl/>
              <w:ind w:hanging="0" w:start="0"/>
              <w:rPr/>
            </w:pPr>
            <w:r>
              <w:rPr/>
            </w:r>
          </w:p>
          <w:p>
            <w:pPr>
              <w:pStyle w:val="Heading2"/>
              <w:widowControl/>
              <w:ind w:hanging="0" w:start="0"/>
              <w:jc w:val="start"/>
              <w:rPr>
                <w:b w:val="false"/>
                <w:i/>
                <w:i/>
              </w:rPr>
            </w:pPr>
            <w:r>
              <w:rPr>
                <w:b w:val="false"/>
                <w:i/>
              </w:rPr>
              <w:t>Attorneys for Arizona Public Service     Company</w:t>
            </w:r>
          </w:p>
          <w:p>
            <w:pPr>
              <w:pStyle w:val="Normal"/>
              <w:widowControl/>
              <w:rPr/>
            </w:pPr>
            <w:r>
              <w:fldChar w:fldCharType="begin"/>
            </w:r>
            <w:r>
              <w:rPr/>
              <w:instrText xml:space="preserve"> TC "Attorneys for Arizona Public Service     Company" \l 2 </w:instrText>
            </w:r>
            <w:r>
              <w:rPr/>
              <w:fldChar w:fldCharType="separate"/>
            </w:r>
            <w:r>
              <w:rPr/>
            </w:r>
            <w:r>
              <w:rPr/>
              <w:fldChar w:fldCharType="end"/>
            </w:r>
          </w:p>
          <w:p>
            <w:pPr>
              <w:pStyle w:val="Normal"/>
              <w:widowControl/>
              <w:rPr/>
            </w:pPr>
            <w:r>
              <w:rPr/>
            </w:r>
          </w:p>
          <w:p>
            <w:pPr>
              <w:pStyle w:val="Normal"/>
              <w:rPr/>
            </w:pPr>
            <w:r>
              <w:rPr/>
            </w:r>
          </w:p>
          <w:p>
            <w:pPr>
              <w:pStyle w:val="Normal"/>
              <w:rPr/>
            </w:pPr>
            <w:r>
              <w:rPr/>
              <w:t xml:space="preserve">  </w:t>
            </w:r>
            <w:r>
              <w:rPr/>
              <w:t>___________________________________</w:t>
            </w:r>
          </w:p>
          <w:p>
            <w:pPr>
              <w:pStyle w:val="Normal"/>
              <w:rPr/>
            </w:pPr>
            <w:r>
              <w:rPr/>
              <w:t xml:space="preserve">  </w:t>
            </w:r>
            <w:r>
              <w:rPr/>
              <w:t>John D. McGrane</w:t>
            </w:r>
          </w:p>
          <w:p>
            <w:pPr>
              <w:pStyle w:val="Normal"/>
              <w:rPr/>
            </w:pPr>
            <w:r>
              <w:rPr/>
              <w:t xml:space="preserve">  </w:t>
            </w:r>
            <w:r>
              <w:rPr/>
              <w:t>Michael C. Griffen</w:t>
            </w:r>
          </w:p>
          <w:p>
            <w:pPr>
              <w:pStyle w:val="Normal"/>
              <w:rPr/>
            </w:pPr>
            <w:r>
              <w:rPr/>
              <w:t xml:space="preserve">  </w:t>
            </w:r>
            <w:r>
              <w:rPr/>
              <w:t>Morgan, Lewis &amp; Bockius, LLP</w:t>
            </w:r>
          </w:p>
          <w:p>
            <w:pPr>
              <w:pStyle w:val="Normal"/>
              <w:rPr/>
            </w:pPr>
            <w:r>
              <w:rPr/>
              <w:t xml:space="preserve">  </w:t>
            </w:r>
            <w:r>
              <w:rPr/>
              <w:t>1800 M Street, N.W.</w:t>
            </w:r>
          </w:p>
          <w:p>
            <w:pPr>
              <w:pStyle w:val="Normal"/>
              <w:rPr/>
            </w:pPr>
            <w:r>
              <w:rPr/>
              <w:t xml:space="preserve">  </w:t>
            </w:r>
            <w:r>
              <w:rPr/>
              <w:t>Washington, D.C.  20036</w:t>
            </w:r>
          </w:p>
          <w:p>
            <w:pPr>
              <w:pStyle w:val="Normal"/>
              <w:rPr/>
            </w:pPr>
            <w:r>
              <w:rPr/>
              <w:t xml:space="preserve">  </w:t>
            </w:r>
            <w:r>
              <w:rPr/>
              <w:t>(202) 467-7000 (voice)</w:t>
            </w:r>
          </w:p>
          <w:p>
            <w:pPr>
              <w:pStyle w:val="Normal"/>
              <w:rPr/>
            </w:pPr>
            <w:r>
              <w:rPr/>
            </w:r>
          </w:p>
          <w:p>
            <w:pPr>
              <w:pStyle w:val="Normal"/>
              <w:rPr/>
            </w:pPr>
            <w:r>
              <w:rPr/>
            </w:r>
          </w:p>
          <w:p>
            <w:pPr>
              <w:pStyle w:val="Normal"/>
              <w:rPr/>
            </w:pPr>
            <w:r>
              <w:rPr/>
              <w:t xml:space="preserve"> </w:t>
            </w:r>
          </w:p>
          <w:p>
            <w:pPr>
              <w:pStyle w:val="footnotetex"/>
              <w:widowControl/>
              <w:rPr>
                <w:sz w:val="24"/>
              </w:rPr>
            </w:pPr>
            <w:r>
              <w:rPr>
                <w:sz w:val="24"/>
              </w:rPr>
              <w:t xml:space="preserve"> </w:t>
            </w:r>
            <w:r>
              <w:rPr>
                <w:sz w:val="24"/>
              </w:rPr>
              <w:t>___________________________________</w:t>
            </w:r>
          </w:p>
          <w:p>
            <w:pPr>
              <w:pStyle w:val="Normal"/>
              <w:widowControl/>
              <w:rPr/>
            </w:pPr>
            <w:r>
              <w:rPr/>
              <w:t xml:space="preserve">  </w:t>
            </w:r>
            <w:r>
              <w:rPr/>
              <w:t>Phillip M. Fantle</w:t>
            </w:r>
          </w:p>
          <w:p>
            <w:pPr>
              <w:pStyle w:val="Normal"/>
              <w:widowControl/>
              <w:rPr/>
            </w:pPr>
            <w:r>
              <w:rPr/>
              <w:t xml:space="preserve">  </w:t>
            </w:r>
            <w:r>
              <w:rPr/>
              <w:t>Cargill, Incorporated</w:t>
            </w:r>
          </w:p>
          <w:p>
            <w:pPr>
              <w:pStyle w:val="Normal"/>
              <w:rPr/>
            </w:pPr>
            <w:r>
              <w:rPr/>
              <w:t xml:space="preserve">  </w:t>
            </w:r>
            <w:r>
              <w:rPr/>
              <w:t>12700 Whitewater Drive</w:t>
            </w:r>
          </w:p>
          <w:p>
            <w:pPr>
              <w:pStyle w:val="Normal"/>
              <w:rPr/>
            </w:pPr>
            <w:r>
              <w:rPr/>
              <w:t xml:space="preserve">  </w:t>
            </w:r>
            <w:r>
              <w:rPr/>
              <w:t>Minnetonka, MN  55343</w:t>
            </w:r>
          </w:p>
          <w:p>
            <w:pPr>
              <w:pStyle w:val="Normal"/>
              <w:rPr/>
            </w:pPr>
            <w:r>
              <w:rPr/>
              <w:t xml:space="preserve">  </w:t>
            </w:r>
            <w:r>
              <w:rPr/>
              <w:t>(952) 984-3419 (voice)</w:t>
            </w:r>
          </w:p>
          <w:p>
            <w:pPr>
              <w:pStyle w:val="Normal"/>
              <w:rPr/>
            </w:pPr>
            <w:r>
              <w:rPr/>
            </w:r>
          </w:p>
          <w:p>
            <w:pPr>
              <w:pStyle w:val="Normal"/>
              <w:widowControl/>
              <w:rPr>
                <w:i/>
                <w:i/>
              </w:rPr>
            </w:pPr>
            <w:r>
              <w:rPr>
                <w:i/>
              </w:rPr>
              <w:t xml:space="preserve">  </w:t>
            </w:r>
            <w:r>
              <w:rPr>
                <w:i/>
              </w:rPr>
              <w:t>Attorneys for Cargill-Alliant, LLC</w:t>
            </w:r>
          </w:p>
          <w:p>
            <w:pPr>
              <w:pStyle w:val="Normal"/>
              <w:widowControl/>
              <w:rPr/>
            </w:pPr>
            <w:r>
              <w:rPr/>
            </w:r>
          </w:p>
          <w:p>
            <w:pPr>
              <w:pStyle w:val="Normal"/>
              <w:widowControl/>
              <w:rPr>
                <w:i/>
                <w:i/>
              </w:rPr>
            </w:pPr>
            <w:r>
              <w:rPr>
                <w:i/>
              </w:rPr>
            </w:r>
          </w:p>
          <w:p>
            <w:pPr>
              <w:pStyle w:val="Normal"/>
              <w:widowControl/>
              <w:rPr>
                <w:i/>
                <w:i/>
              </w:rPr>
            </w:pPr>
            <w:r>
              <w:rPr>
                <w:i/>
              </w:rPr>
            </w:r>
          </w:p>
          <w:p>
            <w:pPr>
              <w:pStyle w:val="Normal"/>
              <w:rPr>
                <w:i/>
                <w:i/>
              </w:rPr>
            </w:pPr>
            <w:r>
              <w:rPr>
                <w:i/>
              </w:rPr>
            </w:r>
          </w:p>
          <w:p>
            <w:pPr>
              <w:pStyle w:val="Normal"/>
              <w:rPr>
                <w:i/>
                <w:i/>
              </w:rPr>
            </w:pPr>
            <w:r>
              <w:rPr>
                <w:i/>
              </w:rPr>
            </w:r>
          </w:p>
          <w:p>
            <w:pPr>
              <w:pStyle w:val="Normal"/>
              <w:rPr/>
            </w:pPr>
            <w:r>
              <w:rPr/>
              <w:t xml:space="preserve">  </w:t>
            </w:r>
            <w:r>
              <w:rPr/>
              <w:t>____________________________________</w:t>
            </w:r>
          </w:p>
          <w:p>
            <w:pPr>
              <w:pStyle w:val="Normal"/>
              <w:widowControl/>
              <w:rPr/>
            </w:pPr>
            <w:r>
              <w:rPr/>
              <w:t xml:space="preserve">  </w:t>
            </w:r>
            <w:r>
              <w:rPr/>
              <w:t>Henry C. Thumann</w:t>
            </w:r>
          </w:p>
          <w:p>
            <w:pPr>
              <w:pStyle w:val="Normal"/>
              <w:rPr/>
            </w:pPr>
            <w:r>
              <w:rPr/>
              <w:t xml:space="preserve">  </w:t>
            </w:r>
            <w:r>
              <w:rPr/>
              <w:t>John W. Stamper</w:t>
            </w:r>
          </w:p>
          <w:p>
            <w:pPr>
              <w:pStyle w:val="Normal"/>
              <w:rPr/>
            </w:pPr>
            <w:r>
              <w:rPr/>
              <w:t xml:space="preserve">  </w:t>
            </w:r>
            <w:r>
              <w:rPr/>
              <w:t>Brian S. Currey</w:t>
            </w:r>
          </w:p>
          <w:p>
            <w:pPr>
              <w:pStyle w:val="Normal"/>
              <w:rPr/>
            </w:pPr>
            <w:r>
              <w:rPr/>
              <w:t xml:space="preserve">  </w:t>
            </w:r>
            <w:r>
              <w:rPr/>
              <w:t>Marc S. Williams</w:t>
            </w:r>
          </w:p>
          <w:p>
            <w:pPr>
              <w:pStyle w:val="Normal"/>
              <w:rPr/>
            </w:pPr>
            <w:r>
              <w:rPr/>
              <w:t xml:space="preserve">  </w:t>
            </w:r>
            <w:r>
              <w:rPr/>
              <w:t>O'Melveny &amp; Myers LLP</w:t>
            </w:r>
          </w:p>
          <w:p>
            <w:pPr>
              <w:pStyle w:val="Normal"/>
              <w:rPr/>
            </w:pPr>
            <w:r>
              <w:rPr/>
              <w:t xml:space="preserve">  </w:t>
            </w:r>
            <w:r>
              <w:rPr/>
              <w:t>400 S. Hope Street</w:t>
            </w:r>
          </w:p>
          <w:p>
            <w:pPr>
              <w:pStyle w:val="Normal"/>
              <w:rPr/>
            </w:pPr>
            <w:r>
              <w:rPr/>
              <w:t xml:space="preserve">  </w:t>
            </w:r>
            <w:r>
              <w:rPr/>
              <w:t>Los Angeles, CA  90071  (213) 430-6000 (voice)</w:t>
            </w:r>
          </w:p>
          <w:p>
            <w:pPr>
              <w:pStyle w:val="Normal"/>
              <w:rPr/>
            </w:pPr>
            <w:r>
              <w:rPr/>
            </w:r>
          </w:p>
          <w:p>
            <w:pPr>
              <w:pStyle w:val="Normal"/>
              <w:rPr/>
            </w:pPr>
            <w:r>
              <w:rPr/>
            </w:r>
          </w:p>
          <w:p>
            <w:pPr>
              <w:pStyle w:val="Normal"/>
              <w:rPr/>
            </w:pPr>
            <w:r>
              <w:rPr/>
              <w:t xml:space="preserve">  </w:t>
            </w:r>
            <w:r>
              <w:rPr/>
              <w:t>_____________________________________</w:t>
            </w:r>
          </w:p>
          <w:p>
            <w:pPr>
              <w:pStyle w:val="Normal"/>
              <w:rPr/>
            </w:pPr>
            <w:r>
              <w:rPr/>
              <w:t xml:space="preserve">  </w:t>
            </w:r>
            <w:r>
              <w:rPr/>
              <w:t>Don Garber, Esq.</w:t>
            </w:r>
          </w:p>
          <w:p>
            <w:pPr>
              <w:pStyle w:val="Normal"/>
              <w:rPr/>
            </w:pPr>
            <w:r>
              <w:rPr/>
              <w:t xml:space="preserve">  </w:t>
            </w:r>
            <w:r>
              <w:rPr/>
              <w:t>San Diego Gas &amp; Electric Company</w:t>
            </w:r>
          </w:p>
          <w:p>
            <w:pPr>
              <w:pStyle w:val="Normal"/>
              <w:rPr/>
            </w:pPr>
            <w:r>
              <w:rPr/>
              <w:t xml:space="preserve">  </w:t>
            </w:r>
            <w:r>
              <w:rPr/>
              <w:t>101 Ash Street, 12th Floor</w:t>
            </w:r>
          </w:p>
          <w:p>
            <w:pPr>
              <w:pStyle w:val="Normal"/>
              <w:rPr/>
            </w:pPr>
            <w:r>
              <w:rPr/>
              <w:t xml:space="preserve">  </w:t>
            </w:r>
            <w:r>
              <w:rPr/>
              <w:t>San Diego, CA  92101</w:t>
            </w:r>
          </w:p>
          <w:p>
            <w:pPr>
              <w:pStyle w:val="Normal"/>
              <w:rPr/>
            </w:pPr>
            <w:r>
              <w:rPr/>
            </w:r>
          </w:p>
          <w:p>
            <w:pPr>
              <w:pStyle w:val="Normal"/>
              <w:widowControl/>
              <w:rPr>
                <w:i/>
                <w:i/>
              </w:rPr>
            </w:pPr>
            <w:r>
              <w:rPr>
                <w:i/>
              </w:rPr>
              <w:t xml:space="preserve"> </w:t>
            </w:r>
            <w:r>
              <w:rPr>
                <w:i/>
              </w:rPr>
              <w:t>Attorneys for San Diego Gas &amp; Electric      Company</w:t>
            </w:r>
          </w:p>
          <w:p>
            <w:pPr>
              <w:pStyle w:val="Normal"/>
              <w:widowControl/>
              <w:rPr/>
            </w:pPr>
            <w:r>
              <w:rPr/>
            </w:r>
          </w:p>
          <w:p>
            <w:pPr>
              <w:pStyle w:val="Normal"/>
              <w:rPr/>
            </w:pPr>
            <w:r>
              <w:rPr/>
            </w:r>
          </w:p>
          <w:p>
            <w:pPr>
              <w:pStyle w:val="Normal"/>
              <w:rPr/>
            </w:pPr>
            <w:r>
              <w:rPr/>
              <w:t xml:space="preserve"> </w:t>
            </w:r>
            <w:r>
              <w:rPr/>
              <w:t>_________________________________</w:t>
            </w:r>
          </w:p>
          <w:p>
            <w:pPr>
              <w:pStyle w:val="Normal"/>
              <w:rPr/>
            </w:pPr>
            <w:r>
              <w:rPr/>
              <w:t xml:space="preserve">  </w:t>
            </w:r>
            <w:r>
              <w:rPr/>
              <w:t>Richard C. Josephson</w:t>
            </w:r>
          </w:p>
          <w:p>
            <w:pPr>
              <w:pStyle w:val="Normal"/>
              <w:rPr/>
            </w:pPr>
            <w:r>
              <w:rPr/>
              <w:t xml:space="preserve">  </w:t>
            </w:r>
            <w:r>
              <w:rPr/>
              <w:t>Per A. Ramfjord</w:t>
            </w:r>
          </w:p>
          <w:p>
            <w:pPr>
              <w:pStyle w:val="Normal"/>
              <w:rPr/>
            </w:pPr>
            <w:r>
              <w:rPr/>
              <w:t xml:space="preserve">  </w:t>
            </w:r>
            <w:r>
              <w:rPr/>
              <w:t>Scott J. Kaplan</w:t>
            </w:r>
          </w:p>
          <w:p>
            <w:pPr>
              <w:pStyle w:val="Normal"/>
              <w:rPr/>
            </w:pPr>
            <w:r>
              <w:rPr/>
              <w:t xml:space="preserve">  </w:t>
            </w:r>
            <w:r>
              <w:rPr/>
              <w:t>Stoel Rives L.L.P.</w:t>
            </w:r>
          </w:p>
          <w:p>
            <w:pPr>
              <w:pStyle w:val="Normal"/>
              <w:rPr/>
            </w:pPr>
            <w:r>
              <w:rPr/>
              <w:t xml:space="preserve">  </w:t>
            </w:r>
            <w:r>
              <w:rPr/>
              <w:t>900 SW Fifth Avenue, Suite 2600</w:t>
            </w:r>
          </w:p>
          <w:p>
            <w:pPr>
              <w:pStyle w:val="Normal"/>
              <w:rPr/>
            </w:pPr>
            <w:r>
              <w:rPr/>
              <w:t xml:space="preserve">  </w:t>
            </w:r>
            <w:r>
              <w:rPr/>
              <w:t>Portland, OR  97204-1268</w:t>
            </w:r>
          </w:p>
          <w:p>
            <w:pPr>
              <w:pStyle w:val="Normal"/>
              <w:rPr/>
            </w:pPr>
            <w:r>
              <w:rPr/>
              <w:t xml:space="preserve">  </w:t>
            </w:r>
            <w:r>
              <w:rPr/>
              <w:t>(503) 224-3380 (voice)</w:t>
            </w:r>
          </w:p>
          <w:p>
            <w:pPr>
              <w:pStyle w:val="Normal"/>
              <w:rPr/>
            </w:pPr>
            <w:r>
              <w:rPr/>
            </w:r>
          </w:p>
          <w:p>
            <w:pPr>
              <w:pStyle w:val="Normal"/>
              <w:rPr>
                <w:i/>
                <w:i/>
              </w:rPr>
            </w:pPr>
            <w:r>
              <w:rPr>
                <w:i/>
              </w:rPr>
            </w:r>
          </w:p>
          <w:p>
            <w:pPr>
              <w:pStyle w:val="Normal"/>
              <w:rPr>
                <w:i/>
                <w:i/>
              </w:rPr>
            </w:pPr>
            <w:r>
              <w:rPr>
                <w:i/>
              </w:rPr>
              <w:t xml:space="preserve">  </w:t>
            </w:r>
            <w:r>
              <w:rPr>
                <w:i/>
              </w:rPr>
              <w:t>Attorneys for PacifiCorp</w:t>
            </w:r>
          </w:p>
          <w:p>
            <w:pPr>
              <w:pStyle w:val="Normal"/>
              <w:widowControl/>
              <w:rPr>
                <w:i/>
                <w:i/>
              </w:rPr>
            </w:pPr>
            <w:r>
              <w:rPr>
                <w:i/>
              </w:rPr>
            </w:r>
          </w:p>
          <w:p>
            <w:pPr>
              <w:pStyle w:val="Normal"/>
              <w:widowControl/>
              <w:rPr/>
            </w:pPr>
            <w:r>
              <w:rPr/>
            </w:r>
          </w:p>
          <w:p>
            <w:pPr>
              <w:pStyle w:val="Normal"/>
              <w:rPr/>
            </w:pPr>
            <w:r>
              <w:rPr/>
            </w:r>
          </w:p>
          <w:p>
            <w:pPr>
              <w:pStyle w:val="Normal"/>
              <w:rPr/>
            </w:pPr>
            <w:r>
              <w:rPr/>
            </w:r>
          </w:p>
          <w:p>
            <w:pPr>
              <w:pStyle w:val="Normal"/>
              <w:rPr/>
            </w:pPr>
            <w:r>
              <w:rPr/>
            </w:r>
          </w:p>
          <w:p>
            <w:pPr>
              <w:pStyle w:val="Normal"/>
              <w:rPr>
                <w:sz w:val="20"/>
              </w:rPr>
            </w:pPr>
            <w:r>
              <w:rPr>
                <w:sz w:val="20"/>
              </w:rPr>
            </w:r>
          </w:p>
        </w:tc>
      </w:tr>
    </w:tbl>
    <w:p>
      <w:pPr>
        <w:pStyle w:val="Normal"/>
        <w:jc w:val="both"/>
        <w:rPr>
          <w:sz w:val="20"/>
        </w:rPr>
      </w:pPr>
      <w:r>
        <w:rPr>
          <w:sz w:val="20"/>
        </w:rPr>
      </w:r>
    </w:p>
    <w:p>
      <w:pPr>
        <w:sectPr>
          <w:footnotePr>
            <w:numFmt w:val="decimal"/>
          </w:footnotePr>
          <w:type w:val="continuous"/>
          <w:pgSz w:w="12240" w:h="15840"/>
          <w:pgMar w:left="1440" w:right="1440" w:gutter="0" w:header="0" w:top="1440" w:footer="720" w:bottom="776"/>
          <w:formProt w:val="false"/>
          <w:textDirection w:val="lrTb"/>
          <w:docGrid w:type="default" w:linePitch="360" w:charSpace="0"/>
        </w:sectPr>
      </w:pPr>
    </w:p>
    <w:p>
      <w:pPr>
        <w:pStyle w:val="Normal"/>
        <w:jc w:val="center"/>
        <w:rPr>
          <w:b/>
          <w:u w:val="single"/>
        </w:rPr>
      </w:pPr>
      <w:r>
        <w:rPr>
          <w:b/>
          <w:u w:val="single"/>
        </w:rPr>
        <w:t>CERTIFICATE OF SERVICE</w:t>
      </w:r>
    </w:p>
    <w:p>
      <w:pPr>
        <w:pStyle w:val="Normal"/>
        <w:jc w:val="both"/>
        <w:rPr>
          <w:sz w:val="20"/>
        </w:rPr>
      </w:pPr>
      <w:r>
        <w:rPr>
          <w:sz w:val="20"/>
        </w:rPr>
      </w:r>
    </w:p>
    <w:p>
      <w:pPr>
        <w:pStyle w:val="Normal"/>
        <w:ind w:firstLine="720" w:end="0"/>
        <w:jc w:val="both"/>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jc w:val="both"/>
        <w:rPr/>
      </w:pPr>
      <w:r>
        <w:rPr/>
      </w:r>
    </w:p>
    <w:p>
      <w:pPr>
        <w:pStyle w:val="Normal"/>
        <w:ind w:firstLine="720" w:end="0"/>
        <w:jc w:val="both"/>
        <w:rPr/>
      </w:pPr>
      <w:r>
        <w:rPr/>
        <w:t>Dated at Washington, D.C., this __ day of May 2001.</w:t>
      </w:r>
    </w:p>
    <w:p>
      <w:pPr>
        <w:pStyle w:val="Style0"/>
        <w:widowControl/>
        <w:jc w:val="both"/>
        <w:rPr>
          <w:rFonts w:ascii="Times New Roman" w:hAnsi="Times New Roman" w:cs="Times New Roman"/>
        </w:rPr>
      </w:pPr>
      <w:r>
        <w:rPr>
          <w:rFonts w:cs="Times New Roman" w:ascii="Times New Roman" w:hAnsi="Times New Roman"/>
        </w:rPr>
      </w:r>
    </w:p>
    <w:p>
      <w:pPr>
        <w:pStyle w:val="Normal"/>
        <w:widowControl/>
        <w:ind w:firstLine="5760" w:end="0"/>
        <w:jc w:val="both"/>
        <w:rPr/>
      </w:pPr>
      <w:r>
        <w:rPr/>
        <w:t>______________________________</w:t>
      </w:r>
    </w:p>
    <w:p>
      <w:pPr>
        <w:pStyle w:val="Normal"/>
        <w:widowControl/>
        <w:ind w:firstLine="6480" w:end="0"/>
        <w:jc w:val="both"/>
        <w:rPr/>
      </w:pPr>
      <w:r>
        <w:rPr/>
        <w:t>Andrea M. Settanni</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footnotetex"/>
        <w:widowControl/>
        <w:jc w:val="both"/>
        <w:rPr>
          <w:sz w:val="24"/>
        </w:rPr>
      </w:pPr>
      <w:r>
        <w:rPr>
          <w:sz w:val="24"/>
        </w:rPr>
      </w:r>
    </w:p>
    <w:p>
      <w:pPr>
        <w:pStyle w:val="Normal"/>
        <w:widowControl/>
        <w:jc w:val="both"/>
        <w:rPr>
          <w:sz w:val="24"/>
        </w:rPr>
      </w:pPr>
      <w:r>
        <w:rPr>
          <w:sz w:val="24"/>
        </w:rPr>
      </w:r>
    </w:p>
    <w:p>
      <w:pPr>
        <w:pStyle w:val="Normal"/>
        <w:widowControl/>
        <w:jc w:val="both"/>
        <w:rPr/>
      </w:pPr>
      <w:r>
        <w:rPr/>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0" w:end="0"/>
        <w:jc w:val="both"/>
        <w:rPr/>
      </w:pPr>
      <w:r>
        <w:rPr/>
      </w:r>
    </w:p>
    <w:p>
      <w:pPr>
        <w:pStyle w:val="Normal"/>
        <w:jc w:val="both"/>
        <w:rPr>
          <w:sz w:val="20"/>
        </w:rPr>
      </w:pPr>
      <w:r>
        <w:rPr>
          <w:sz w:val="20"/>
        </w:rPr>
      </w:r>
    </w:p>
    <w:p>
      <w:pPr>
        <w:pStyle w:val="Normal"/>
        <w:ind w:firstLine="2160" w:end="0"/>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141563</w:t>
      </w:r>
    </w:p>
    <w:sectPr>
      <w:footerReference w:type="default" r:id="rId4"/>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 xml:space="preserve"> </w:t>
      </w:r>
      <w:r>
        <w:rPr/>
        <w:t>Clarification is necessary because, as discussed herein, the PX claims that its obligation to immediately return the collateral was called into question by the April 6 Order.  Although we submit that there is nothing in the April 6 Order that supports this position, we are left with no choice but to seek clarification and enforcement in light of the PX's position.</w:t>
      </w:r>
    </w:p>
  </w:footnote>
  <w:footnote w:id="3">
    <w:p>
      <w:pPr>
        <w:pStyle w:val="Normal"/>
        <w:spacing w:before="0" w:after="240"/>
        <w:ind w:firstLine="720" w:end="0"/>
        <w:jc w:val="both"/>
        <w:rPr/>
      </w:pPr>
      <w:r>
        <w:rPr>
          <w:rStyle w:val="FootnoteCharacters"/>
        </w:rPr>
        <w:footnoteRef/>
      </w:r>
      <w:r>
        <w:rPr/>
        <w:t xml:space="preserve"> </w:t>
      </w:r>
      <w:r>
        <w:rPr/>
        <w:t>Similar complaints were filed by Salt River Project Agricultural Improvement and Power District and the Sacramento Municipal Utility District in Docket No. EL01-37-000 and by the Public Service Company of New Mexico in Docket No. EL01-43-000.</w:t>
      </w:r>
    </w:p>
  </w:footnote>
  <w:footnote w:id="4">
    <w:p>
      <w:pPr>
        <w:pStyle w:val="Normal"/>
        <w:spacing w:before="0" w:after="240"/>
        <w:ind w:firstLine="720" w:end="0"/>
        <w:jc w:val="both"/>
        <w:rPr/>
      </w:pPr>
      <w:r>
        <w:rPr>
          <w:rStyle w:val="FootnoteCharacters"/>
        </w:rPr>
        <w:footnoteRef/>
      </w:r>
      <w:r>
        <w:rPr/>
        <w:t xml:space="preserve"> </w:t>
      </w:r>
      <w:r>
        <w:rPr/>
        <w:t>We also pointed out that the PX's asserted intention to invoke the chargeback mechanism in an iterative manner was not authorized by the PX's Tariff and that the PX's intention to apply the chargeback provision from the PX's Tariff, which is proportional to how much a creditor has sold into the PX in the past three months, to recover defaults to the California Independent System Operator Corporation ("ISO") (with the PX acting as Scheduling Coordinator), was erroneous and irrational.  Finally, we discussed how the PX was improperly using chargebacks before the preconditions required by its Tariff for imposing chargebacks had been satisfied.</w:t>
      </w:r>
    </w:p>
  </w:footnote>
  <w:footnote w:id="5">
    <w:p>
      <w:pPr>
        <w:pStyle w:val="Normal"/>
        <w:spacing w:before="0" w:after="240"/>
        <w:ind w:firstLine="720" w:end="0"/>
        <w:jc w:val="both"/>
        <w:rPr/>
      </w:pPr>
      <w:r>
        <w:rPr>
          <w:rStyle w:val="FootnoteCharacters"/>
        </w:rPr>
        <w:footnoteRef/>
      </w:r>
      <w:r>
        <w:rPr/>
        <w:t xml:space="preserve"> </w:t>
      </w:r>
      <w:r>
        <w:rPr/>
        <w:t>One of those proceedings concerns SCE's claim that its obligations to perform to the PX was excused due to the occurrence of "Uncontrollable Forces," as that term is defined in the PX's Tariff.  The other proceeding concerns the commandeering of SCE's and PG&amp;E's Block Forward contracts by the State of California.</w:t>
      </w:r>
    </w:p>
  </w:footnote>
  <w:footnote w:id="6">
    <w:p>
      <w:pPr>
        <w:pStyle w:val="Normal"/>
        <w:spacing w:before="0" w:after="240"/>
        <w:ind w:firstLine="720" w:end="0"/>
        <w:jc w:val="both"/>
        <w:rPr/>
      </w:pPr>
      <w:r>
        <w:rPr>
          <w:rStyle w:val="FootnoteCharacters"/>
        </w:rPr>
        <w:footnoteRef/>
      </w:r>
      <w:r>
        <w:rPr/>
        <w:t xml:space="preserve"> </w:t>
      </w:r>
      <w:r>
        <w:rPr/>
        <w:t>On January 31, 2001, the PX terminated its operations and on March 9, 2001 filed for bankruptcy.  Thus, because the PX no longer operates a trading platform, non-defaulting PX Participants (other than creditors) are now in position to wind-up their affairs with the PX and determine what, if any, further obligations they may have with the PX that require them to maintain all or a portion of their collateral with the PX.  This motion is limited to the return of collateral in excess of a PX Participant's remaining obligations to the PX.</w:t>
      </w:r>
    </w:p>
  </w:footnote>
  <w:footnote w:id="7">
    <w:p>
      <w:pPr>
        <w:pStyle w:val="Normal"/>
        <w:spacing w:before="0" w:after="240"/>
        <w:ind w:firstLine="720" w:end="0"/>
        <w:jc w:val="both"/>
        <w:rPr/>
      </w:pPr>
      <w:r>
        <w:rPr>
          <w:rStyle w:val="FootnoteCharacters"/>
        </w:rPr>
        <w:footnoteRef/>
      </w:r>
      <w:r>
        <w:rPr/>
        <w:t xml:space="preserve"> </w:t>
      </w:r>
      <w:r>
        <w:rPr/>
        <w:t>A copy of the PX's letter to Mirant is attached.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6"/>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numPr>
        <w:ilvl w:val="1"/>
        <w:numId w:val="1"/>
      </w:numPr>
      <w:jc w:val="end"/>
      <w:outlineLvl w:val="1"/>
    </w:pPr>
    <w:rPr>
      <w:b/>
    </w:rPr>
  </w:style>
  <w:style w:type="character" w:styleId="WW8Num1z0">
    <w:name w:val="WW8Num1z0"/>
    <w:qFormat/>
    <w:rPr>
      <w:rFonts w:ascii="Times New Roman" w:hAnsi="Times New Roman" w:cs="Times New Roman"/>
      <w:b/>
      <w:i/>
      <w:sz w:val="26"/>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tabs>
        <w:tab w:val="clear" w:pos="720"/>
      </w:tabs>
      <w:ind w:hanging="720" w:start="720" w:end="0"/>
      <w:outlineLvl w:val="0"/>
    </w:pPr>
    <w:rPr/>
  </w:style>
  <w:style w:type="paragraph" w:styleId="BodyTextIndent">
    <w:name w:val="Body Text Indent"/>
    <w:basedOn w:val="Normal"/>
    <w:pPr>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1440" w:end="0"/>
    </w:pPr>
    <w:rPr/>
  </w:style>
  <w:style w:type="paragraph" w:styleId="footnotetex">
    <w:name w:val="footnote tex"/>
    <w:basedOn w:val="Normal"/>
    <w:qFormat/>
    <w:pPr/>
    <w:rPr>
      <w:sz w:val="20"/>
    </w:rPr>
  </w:style>
  <w:style w:type="paragraph" w:styleId="Style0">
    <w:name w:val="Style0"/>
    <w:basedOn w:val="Normal"/>
    <w:qFormat/>
    <w:pPr/>
    <w:rPr>
      <w:rFonts w:ascii="Arial" w:hAnsi="Arial" w:cs="Arial"/>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2001-05-01T20:14:00Z</dcterms:created>
  <dc:creator>Bracewell &amp; Patterson</dc:creator>
  <dc:description/>
  <dc:language>en-CA</dc:language>
  <cp:lastModifiedBy>Bracewell &amp; Patterson</cp:lastModifiedBy>
  <dcterms:modified xsi:type="dcterms:W3CDTF">2001-05-01T20:14:00Z</dcterms:modified>
  <cp:revision>2</cp:revision>
  <dc:subject/>
  <dc:title>UNITED STATES OF AMERICA</dc:title>
</cp:coreProperties>
</file>