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szCs w:val="26"/>
        </w:rPr>
      </w:pPr>
      <w:r>
        <w:rPr>
          <w:sz w:val="26"/>
          <w:szCs w:val="26"/>
        </w:rPr>
        <w:t>UNITED STATES OF AMERICA 97 FERC ¶ 61,010</w:t>
      </w:r>
    </w:p>
    <w:p>
      <w:pPr>
        <w:pStyle w:val="Normal"/>
        <w:widowControl/>
        <w:jc w:val="center"/>
        <w:rPr>
          <w:sz w:val="26"/>
          <w:szCs w:val="26"/>
        </w:rPr>
      </w:pPr>
      <w:r>
        <w:rPr>
          <w:sz w:val="26"/>
          <w:szCs w:val="26"/>
        </w:rPr>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Before Commissioners: Pat Wood, III,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and Nora Mead Brownell.</w:t>
      </w:r>
    </w:p>
    <w:p>
      <w:pPr>
        <w:pStyle w:val="Normal"/>
        <w:widowControl/>
        <w:rPr>
          <w:sz w:val="26"/>
          <w:szCs w:val="26"/>
        </w:rPr>
      </w:pPr>
      <w:r>
        <w:rPr>
          <w:sz w:val="26"/>
          <w:szCs w:val="26"/>
        </w:rPr>
      </w:r>
    </w:p>
    <w:p>
      <w:pPr>
        <w:pStyle w:val="Normal"/>
        <w:widowControl/>
        <w:ind w:firstLine="5040" w:end="0"/>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 xml:space="preserve">PJM Interconnection, L.L.C. </w:t>
        <w:tab/>
        <w:t xml:space="preserve">      </w:t>
        <w:tab/>
        <w:tab/>
        <w:tab/>
        <w:t>Docket No. EL01-122-000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jc w:val="center"/>
        <w:rPr>
          <w:sz w:val="26"/>
          <w:szCs w:val="26"/>
        </w:rPr>
      </w:pPr>
      <w:r>
        <w:rPr>
          <w:sz w:val="26"/>
          <w:szCs w:val="26"/>
        </w:rPr>
        <w:t>ORDER REQUIRING REPORT</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October 3, 2001)</w:t>
      </w:r>
    </w:p>
    <w:p>
      <w:pPr>
        <w:pStyle w:val="Normal"/>
        <w:widowControl/>
        <w:rPr>
          <w:sz w:val="26"/>
          <w:szCs w:val="26"/>
        </w:rPr>
      </w:pPr>
      <w:r>
        <w:rPr>
          <w:sz w:val="26"/>
          <w:szCs w:val="26"/>
        </w:rPr>
      </w:r>
    </w:p>
    <w:p>
      <w:pPr>
        <w:pStyle w:val="Normal"/>
        <w:widowControl/>
        <w:ind w:firstLine="720" w:end="0"/>
        <w:rPr/>
      </w:pPr>
      <w:r>
        <w:rPr>
          <w:sz w:val="26"/>
          <w:szCs w:val="26"/>
        </w:rPr>
        <w:t>This order directs PJM Interconnection, L.L.C. to report to the Commission on its current transmission oversight processes and procedures.  This order is related to a show cause order directed to Exelon Corporation (Exelon), PECO Energy Company (PECO), a subsidiary of Exelon Corporation, and Exelon Generation Company, L.L.C. (Exelon Generation), a subsidiary of Exelon, and Exelon Power Team (Power Team), a division of Exelon Generation in Docket No. IN01-7-000.  In the show cause order, the Commission directs Exelon, PECO, and Power Team to show cause whether they violated Section 205(b) of the Federal Power Act (FPA)</w:t>
      </w:r>
      <w:r>
        <w:rPr>
          <w:rStyle w:val="FootnoteCharacters"/>
          <w:rStyle w:val="FootnoteReference"/>
          <w:b/>
          <w:bCs/>
          <w:sz w:val="31"/>
          <w:szCs w:val="31"/>
          <w:vertAlign w:val="superscript"/>
        </w:rPr>
        <w:footnoteReference w:id="2"/>
      </w:r>
      <w:r>
        <w:rPr>
          <w:sz w:val="26"/>
          <w:szCs w:val="26"/>
        </w:rPr>
        <w:t xml:space="preserve"> and the standards of conduct in the Commission's regulations</w:t>
      </w:r>
      <w:r>
        <w:rPr>
          <w:rStyle w:val="FootnoteCharacters"/>
          <w:rStyle w:val="FootnoteReference"/>
          <w:b/>
          <w:bCs/>
          <w:sz w:val="31"/>
          <w:szCs w:val="31"/>
          <w:vertAlign w:val="superscript"/>
        </w:rPr>
        <w:footnoteReference w:id="3"/>
      </w:r>
      <w:r>
        <w:rPr>
          <w:sz w:val="26"/>
          <w:szCs w:val="26"/>
        </w:rPr>
        <w:t xml:space="preserve"> by operating PECO's transmission system in an unduly preferential manner or sharing non-public information regarding the timing and location of maintenance outages in PJM's system or both.  </w:t>
      </w:r>
    </w:p>
    <w:p>
      <w:pPr>
        <w:pStyle w:val="Normal"/>
        <w:widowControl/>
        <w:rPr>
          <w:sz w:val="26"/>
          <w:szCs w:val="26"/>
        </w:rPr>
      </w:pPr>
      <w:r>
        <w:rPr>
          <w:sz w:val="26"/>
          <w:szCs w:val="26"/>
        </w:rPr>
      </w:r>
    </w:p>
    <w:p>
      <w:pPr>
        <w:pStyle w:val="Normal"/>
        <w:widowControl/>
        <w:ind w:firstLine="720" w:end="0"/>
        <w:rPr>
          <w:sz w:val="26"/>
          <w:szCs w:val="26"/>
        </w:rPr>
      </w:pPr>
      <w:r>
        <w:rPr>
          <w:sz w:val="26"/>
          <w:szCs w:val="26"/>
        </w:rPr>
        <w:t>As discussed in the show cause order, during October and November 1999, PECO derated certain transmission related facilities within PJM's system.  Although derating transmission related facilities is an unusual event, PECO decreased ratings on specific transformers that were affected by maintenance outages.  Deratings are not posted publicly but are communicated by PECO to PJM.  PECO derated transformers shortly before maintenance outages began and returned the transformers to their original levels soon after the outages ended.  After PJM reviewed PECO's deratings, PECO explained that it had derated the transformers erroneously.</w:t>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sz w:val="26"/>
          <w:szCs w:val="26"/>
        </w:rPr>
      </w:pPr>
      <w:r>
        <w:rPr>
          <w:sz w:val="26"/>
          <w:szCs w:val="26"/>
        </w:rPr>
        <w:t>Congestion occurs when power flows exceed a transmission system's capability to supply power.  When particular paths cannot be utilized due to maintenance, congestion may occur by increasing the flow across alternate paths.  Ratings changes on transformers also can cause or contribute to congestion.  Derating transmission equipment means that the transmission provider notifies system operations that the operating limit of the equipment will be reduced.  The reduction is usually the result of a contingency, maintenance or outage (planned or unplanned) of another piece of transmission equipment in the network.</w:t>
      </w:r>
    </w:p>
    <w:p>
      <w:pPr>
        <w:pStyle w:val="Normal"/>
        <w:widowControl/>
        <w:rPr>
          <w:sz w:val="26"/>
          <w:szCs w:val="26"/>
        </w:rPr>
      </w:pPr>
      <w:r>
        <w:rPr>
          <w:sz w:val="26"/>
          <w:szCs w:val="26"/>
        </w:rPr>
      </w:r>
    </w:p>
    <w:p>
      <w:pPr>
        <w:pStyle w:val="Normal"/>
        <w:widowControl/>
        <w:ind w:firstLine="720" w:end="0"/>
        <w:rPr>
          <w:sz w:val="26"/>
          <w:szCs w:val="26"/>
        </w:rPr>
      </w:pPr>
      <w:r>
        <w:rPr>
          <w:sz w:val="26"/>
          <w:szCs w:val="26"/>
        </w:rPr>
        <w:t>PJM discovered the erroneous transformer ratings after PECO provided them, in some cases weeks after the ratings were provided.  The deratings, in combination with maintenance outages declared by PECO, caused congestion.  Because Power Team owned fixed transmission rights (FTRs) that were affected by the congestion, Power Team's FTRs increased substantially in value.</w:t>
      </w:r>
    </w:p>
    <w:p>
      <w:pPr>
        <w:pStyle w:val="Normal"/>
        <w:widowControl/>
        <w:rPr>
          <w:sz w:val="26"/>
          <w:szCs w:val="26"/>
        </w:rPr>
      </w:pPr>
      <w:r>
        <w:rPr>
          <w:sz w:val="26"/>
          <w:szCs w:val="26"/>
        </w:rPr>
      </w:r>
    </w:p>
    <w:p>
      <w:pPr>
        <w:pStyle w:val="Normal"/>
        <w:widowControl/>
        <w:ind w:firstLine="720" w:end="0"/>
        <w:rPr/>
      </w:pPr>
      <w:r>
        <w:rPr>
          <w:sz w:val="26"/>
          <w:szCs w:val="26"/>
        </w:rPr>
        <w:t>The Commission is interested in gaining a better understanding of PJM's oversight regarding the operation of its transmission system.  Although PJM recently instituted a new policy regarding the reporting of maintenance outages,</w:t>
      </w:r>
      <w:r>
        <w:rPr>
          <w:rStyle w:val="FootnoteCharacters"/>
          <w:rStyle w:val="FootnoteReference"/>
          <w:b/>
          <w:bCs/>
          <w:sz w:val="31"/>
          <w:szCs w:val="31"/>
          <w:vertAlign w:val="superscript"/>
        </w:rPr>
        <w:footnoteReference w:id="4"/>
      </w:r>
      <w:r>
        <w:rPr>
          <w:sz w:val="26"/>
          <w:szCs w:val="26"/>
        </w:rPr>
        <w:t xml:space="preserve"> the Commission is concerned whether PJM exercises sufficient oversight regarding the operation of its transmission system.  The Commission wants to know whether and how PJM reviews maintenance and derating decisions by PJM members, how PJM coordinates such decisions and, with regard to derating decisions, whether PJM reviews derating decisions promptly and has rejected any such decisions.  The Commission also wants to know what procedures PJM uses to ensure that transmission providers do not provide undue preferences in the operation of its transmission system.  Accordingly, PJM is directed to file a report to explain its current transmission oversight procedures regarding maintenance and derating decisions.  In addition, PJM is directed to propose additional oversight measures that will ensure prompt and diligent review of maintenance and derating decisions.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PJM Interconnection, L.L.C., within 30 days of the date of this order, is directed to report to the Commission as discussed in this order.  </w:t>
      </w:r>
    </w:p>
    <w:p>
      <w:pPr>
        <w:pStyle w:val="Normal"/>
        <w:widowControl/>
        <w:rPr>
          <w:sz w:val="26"/>
          <w:szCs w:val="26"/>
        </w:rPr>
      </w:pPr>
      <w:r>
        <w:rPr>
          <w:sz w:val="26"/>
          <w:szCs w:val="26"/>
        </w:rPr>
      </w:r>
    </w:p>
    <w:p>
      <w:pPr>
        <w:pStyle w:val="Normal"/>
        <w:widowControl/>
        <w:rPr>
          <w:sz w:val="26"/>
          <w:szCs w:val="26"/>
        </w:rPr>
      </w:pPr>
      <w:r>
        <w:rPr>
          <w:sz w:val="26"/>
          <w:szCs w:val="26"/>
        </w:rPr>
        <w:t>By the Commission.</w:t>
      </w:r>
    </w:p>
    <w:p>
      <w:pPr>
        <w:pStyle w:val="Normal"/>
        <w:widowControl/>
        <w:rPr>
          <w:sz w:val="26"/>
          <w:szCs w:val="26"/>
        </w:rPr>
      </w:pPr>
      <w:r>
        <w:rPr>
          <w:sz w:val="26"/>
          <w:szCs w:val="26"/>
        </w:rPr>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16 U.S.C. § 824d(b) (1994).</w:t>
      </w:r>
    </w:p>
  </w:footnote>
  <w:footnote w:id="3">
    <w:p>
      <w:pPr>
        <w:pStyle w:val="Normal"/>
        <w:ind w:firstLine="720" w:end="0"/>
        <w:rPr/>
      </w:pPr>
      <w:r>
        <w:rPr>
          <w:rStyle w:val="FootnoteCharacters"/>
        </w:rPr>
        <w:footnoteRef/>
      </w:r>
      <w:r>
        <w:rPr>
          <w:sz w:val="26"/>
          <w:szCs w:val="26"/>
        </w:rPr>
        <w:t xml:space="preserve">18 C.F.R.§ 37.4(b)(3)(1) (2001), 18 C.F.R. § 37.4(b)(4) (2001), 18 C.F.R. </w:t>
      </w:r>
    </w:p>
    <w:p>
      <w:pPr>
        <w:pStyle w:val="Normal"/>
        <w:spacing w:before="0" w:after="240"/>
        <w:rPr>
          <w:sz w:val="26"/>
          <w:szCs w:val="26"/>
        </w:rPr>
      </w:pPr>
      <w:r>
        <w:rPr>
          <w:sz w:val="26"/>
          <w:szCs w:val="26"/>
        </w:rPr>
        <w:t>§ 37.4(b)(5)(ii) and (iv) (2001).</w:t>
      </w:r>
    </w:p>
  </w:footnote>
  <w:footnote w:id="4">
    <w:p>
      <w:pPr>
        <w:pStyle w:val="Normal"/>
        <w:spacing w:before="0" w:after="240"/>
        <w:ind w:firstLine="720" w:end="0"/>
        <w:rPr/>
      </w:pPr>
      <w:r>
        <w:rPr>
          <w:rStyle w:val="FootnoteCharacters"/>
        </w:rPr>
        <w:footnoteRef/>
      </w:r>
      <w:r>
        <w:rPr>
          <w:sz w:val="26"/>
          <w:szCs w:val="26"/>
          <w:lang w:val="en-GB"/>
        </w:rPr>
        <w:t>Transmission Outage Reporting Working Group transmission outage notification recommendations, effective August 15,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s>
      <w:ind w:hanging="5760" w:start="5760" w:end="0"/>
      <w:rPr/>
    </w:pPr>
    <w:r>
      <w:rPr>
        <w:sz w:val="26"/>
        <w:szCs w:val="26"/>
      </w:rPr>
      <w:t>Docket No. EL01-122-000</w:t>
      <w:tab/>
      <w:tab/>
      <w:tab/>
      <w:tab/>
      <w:tab/>
      <w:t xml:space="preserve">- </w:t>
    </w:r>
    <w:r>
      <w:rPr>
        <w:sz w:val="26"/>
        <w:szCs w:val="26"/>
      </w:rPr>
      <w:fldChar w:fldCharType="begin"/>
    </w:r>
    <w:r>
      <w:rPr>
        <w:sz w:val="26"/>
        <w:szCs w:val="26"/>
      </w:rPr>
      <w:instrText xml:space="preserve"> PAGE </w:instrText>
    </w:r>
    <w:r>
      <w:rPr>
        <w:sz w:val="26"/>
        <w:szCs w:val="26"/>
      </w:rPr>
      <w:fldChar w:fldCharType="separate"/>
    </w:r>
    <w:r>
      <w:rPr>
        <w:sz w:val="26"/>
        <w:szCs w:val="26"/>
      </w:rPr>
      <w:t>3</w:t>
    </w:r>
    <w:r>
      <w:rPr>
        <w:sz w:val="26"/>
        <w:szCs w:val="26"/>
      </w:rPr>
      <w:fldChar w:fldCharType="end"/>
    </w:r>
    <w:r>
      <w:rPr>
        <w:sz w:val="26"/>
        <w:szCs w:val="26"/>
      </w:rPr>
      <w:t xml:space="preserve">  - </w:t>
    </w:r>
  </w:p>
  <w:p>
    <w:pPr>
      <w:pStyle w:val="Normal"/>
      <w:spacing w:lineRule="exact" w:line="142"/>
      <w:rPr>
        <w:sz w:val="26"/>
        <w:szCs w:val="26"/>
      </w:rPr>
    </w:pPr>
    <w:r>
      <w:rPr>
        <w:sz w:val="26"/>
        <w:szCs w:val="26"/>
      </w:rPr>
    </w:r>
  </w:p>
</w:hdr>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2001-10-04T00:06:00Z</dcterms:created>
  <dc:creator>Vincent G. Gadsden</dc:creator>
  <dc:description/>
  <dc:language>en-CA</dc:language>
  <cp:lastModifiedBy>Vincent G. Gadsden</cp:lastModifiedBy>
  <dcterms:modified xsi:type="dcterms:W3CDTF">2001-10-04T00:06:00Z</dcterms:modified>
  <cp:revision>2</cp:revision>
  <dc:subject/>
  <dc:title>UNITED STATES OF AMERICA 97 FERC  61,010</dc:title>
</cp:coreProperties>
</file>