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23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0"/>
        <w:ind w:hanging="0" w:start="0" w:end="0"/>
        <w:jc w:val="start"/>
        <w:rPr/>
      </w:pPr>
      <w:r>
        <w:rPr>
          <w:rFonts w:eastAsia="Times New Roman" w:cs="Times New Roman" w:ascii="Times New Roman" w:hAnsi="Times New Roman"/>
          <w:color w:val="000000"/>
          <w:sz w:val="24"/>
          <w:szCs w:val="24"/>
        </w:rPr>
        <w:tab/>
      </w:r>
      <w:r>
        <w:rPr>
          <w:rFonts w:eastAsia="Times New Roman" w:cs="Times New Roman" w:ascii="Times New Roman" w:hAnsi="Times New Roman"/>
          <w:b/>
          <w:bCs/>
          <w:color w:val="000000"/>
          <w:sz w:val="24"/>
          <w:szCs w:val="24"/>
        </w:rPr>
        <w:t>UNITED STATES OF AMERICA</w:t>
      </w:r>
    </w:p>
    <w:p>
      <w:pPr>
        <w:pStyle w:val="Normal"/>
        <w:tabs>
          <w:tab w:val="clear" w:pos="720"/>
          <w:tab w:val="center" w:pos="423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0"/>
        <w:ind w:hanging="0" w:start="0" w:end="0"/>
        <w:jc w:val="start"/>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ab/>
        <w:t>BEFORE THE</w:t>
      </w:r>
    </w:p>
    <w:p>
      <w:pPr>
        <w:pStyle w:val="Normal"/>
        <w:tabs>
          <w:tab w:val="clear" w:pos="720"/>
          <w:tab w:val="center" w:pos="423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0"/>
        <w:ind w:hanging="0" w:start="0" w:end="0"/>
        <w:jc w:val="start"/>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ab/>
        <w:t>FEDERAL ENERGY REGULATORY COMMISSION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0"/>
        <w:ind w:firstLine="576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San Diego Gas &amp; Electric Company,</w:t>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0"/>
        <w:ind w:firstLine="432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0"/>
        <w:ind w:firstLine="216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Complainant,</w:t>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0"/>
        <w:ind w:firstLine="432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0"/>
        <w:ind w:firstLine="72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v.</w:t>
        <w:tab/>
        <w:tab/>
        <w:tab/>
        <w:tab/>
        <w:tab/>
        <w:t>)  Docket No. EL00-95-000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0"/>
        <w:ind w:firstLine="432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Sellers of Energy and Ancillary Services</w:t>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Into Markets Operated by the California</w:t>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Independent System operator and the</w:t>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California Power Exchange,</w:t>
        <w:tab/>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0"/>
        <w:ind w:firstLine="432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0"/>
        <w:ind w:firstLine="216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Respondents.</w:t>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0"/>
        <w:ind w:firstLine="216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0"/>
        <w:ind w:firstLine="2880" w:start="0" w:end="0"/>
        <w:jc w:val="start"/>
        <w:rPr>
          <w:rFonts w:ascii="Times New Roman" w:hAnsi="Times New Roman" w:eastAsia="Times New Roman" w:cs="Times New Roman"/>
          <w:color w:val="000000"/>
          <w:sz w:val="24"/>
          <w:szCs w:val="24"/>
        </w:rPr>
      </w:pPr>
      <w:r>
        <w:rPr/>
      </w:r>
    </w:p>
    <w:p>
      <w:pPr>
        <w:pStyle w:val="Normal"/>
        <w:tabs>
          <w:tab w:val="center"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Investigation of Practices of the</w:t>
        <w:tab/>
        <w:tab/>
        <w:t>)</w:t>
      </w:r>
    </w:p>
    <w:p>
      <w:pPr>
        <w:pStyle w:val="Normal"/>
        <w:tabs>
          <w:tab w:val="center"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California Independent System Operator</w:t>
        <w:tab/>
        <w:t>)</w:t>
        <w:tab/>
        <w:t>Docket No. EL00-98-042</w:t>
      </w:r>
    </w:p>
    <w:p>
      <w:pPr>
        <w:pStyle w:val="Normal"/>
        <w:tabs>
          <w:tab w:val="center"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and the California Power Exchange</w:t>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0"/>
        <w:ind w:firstLine="216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0"/>
        <w:ind w:hanging="0" w:start="0" w:end="0"/>
        <w:jc w:val="start"/>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0"/>
        <w:ind w:hanging="0" w:start="0" w:end="0"/>
        <w:jc w:val="start"/>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RESPONSIVE TESTIMONY OF RAYMOND C. CAMACHO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ON BEHALF 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SILICON VALLEY POWER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firstLine="720" w:start="0" w:end="0"/>
        <w:jc w:val="start"/>
        <w:rPr>
          <w:rFonts w:ascii="Times New Roman" w:hAnsi="Times New Roman" w:eastAsia="Times New Roman" w:cs="Times New Roman"/>
          <w:color w:val="000000"/>
          <w:sz w:val="24"/>
          <w:szCs w:val="24"/>
          <w:u w:val="single"/>
        </w:rPr>
      </w:pPr>
      <w:r>
        <w:rPr>
          <w:rFonts w:eastAsia="Times New Roman" w:cs="Times New Roman" w:ascii="Times New Roman" w:hAnsi="Times New Roman"/>
          <w:color w:val="000000"/>
          <w:sz w:val="24"/>
          <w:szCs w:val="24"/>
          <w:u w:val="single"/>
        </w:rPr>
        <w:t>BACKGROUND AND QUALIFICATIONS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720" w:start="720" w:end="0"/>
        <w:jc w:val="start"/>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Q.</w:t>
        <w:tab/>
        <w:t>WOULD YOU PLEASE STATE YOUR NAME, OCCUPATION AND BUSINESS ADDRESS?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720" w:start="72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w:t>
        <w:tab/>
        <w:t>My name is Raymond C. Camacho, Assistant Director of Electric Utility for Resource Management for Silicon Valley Power (“SVP”) of the City of Santa Clara, California.  I manage SVP’s electric supply portfolio including owned generating assets, long-term power contracts, and the wholesale power trading and scheduling functions. My business address is Silicon Valley Power, 1601 Civic Center Dr., Suite 202, Santa Clara, California  95050.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720" w:start="720" w:end="0"/>
        <w:jc w:val="start"/>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Q. </w:t>
        <w:tab/>
        <w:t>PLEASE DESCRIBE THE CITY AND SVP.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720" w:start="72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w:t>
        <w:tab/>
        <w:t xml:space="preserve">Santa Clara is a city, duly chartered under the laws of the State of California, which owns and operates a municipal electric utility system, SVP, engaged in the generation, transmission, distribution, purchase and sale of electric power and energy at wholesale and retail.  To meet the needs of the citizens of Santa Clara, SVP generates electricity and purchases power and energy from various third party utilities.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720" w:start="720" w:end="0"/>
        <w:jc w:val="start"/>
        <w:rPr/>
      </w:pPr>
      <w:r>
        <w:rPr>
          <w:rFonts w:eastAsia="Times New Roman" w:cs="Times New Roman" w:ascii="Times New Roman" w:hAnsi="Times New Roman"/>
          <w:b/>
          <w:bCs/>
          <w:color w:val="000000"/>
          <w:sz w:val="24"/>
          <w:szCs w:val="24"/>
        </w:rPr>
        <w:t>Q.</w:t>
      </w:r>
      <w:r>
        <w:rPr>
          <w:rFonts w:eastAsia="Times New Roman" w:cs="Times New Roman" w:ascii="Times New Roman" w:hAnsi="Times New Roman"/>
          <w:color w:val="000000"/>
          <w:sz w:val="24"/>
          <w:szCs w:val="24"/>
        </w:rPr>
        <w:tab/>
      </w:r>
      <w:r>
        <w:rPr>
          <w:rFonts w:eastAsia="Times New Roman" w:cs="Times New Roman" w:ascii="Times New Roman" w:hAnsi="Times New Roman"/>
          <w:b/>
          <w:bCs/>
          <w:color w:val="000000"/>
          <w:sz w:val="24"/>
          <w:szCs w:val="24"/>
        </w:rPr>
        <w:t xml:space="preserve">WHAT IS THE PURPOSE OF YOUR DIRECT TESTIMONY AND EXHIBITS IN THE FIRST STAGE (ISSUE 1) OF THE CALIFORNIA REFUND PROCEEDING?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0" w:start="72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w:t>
        <w:tab/>
        <w:t xml:space="preserve">This testimony addresses the ISO’s calculation of the heat rate for the Mitigated Market Clearing Price and SVP’s costs associated with producing the energy sold to the California PX during the refund period.  First, I address the heat rate and gas costs for SVP’s gas-fired generation that was dispatched to supply imbalance energy to the California PX during the refund period. Second, from the heat rate and gas costs that I present, I calculate the cost to SVP to produce that energy.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0" w:start="720" w:end="0"/>
        <w:jc w:val="start"/>
        <w:rPr>
          <w:rFonts w:ascii="Times New Roman" w:hAnsi="Times New Roman" w:eastAsia="Times New Roman" w:cs="Times New Roman"/>
          <w:color w:val="000000"/>
          <w:sz w:val="24"/>
          <w:szCs w:val="2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720" w:start="720" w:end="0"/>
        <w:jc w:val="start"/>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Q.</w:t>
        <w:tab/>
        <w:t>DID THE PX OR ISO DISPATCH SVP’S GENERATION UNITS FROM OCTOBER 2, 2000 THROUGH JUNE 20, 2001?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720" w:start="720" w:end="0"/>
        <w:jc w:val="start"/>
        <w:rPr/>
      </w:pPr>
      <w:r>
        <w:rPr>
          <w:rFonts w:eastAsia="Times New Roman" w:cs="Times New Roman" w:ascii="Times New Roman" w:hAnsi="Times New Roman"/>
          <w:color w:val="000000"/>
          <w:sz w:val="24"/>
          <w:szCs w:val="24"/>
        </w:rPr>
        <w:t>A.</w:t>
        <w:tab/>
        <w:t>The ISO did not dispatch any of SVP’s generating units during this time period because SVP has not and had not executed Participating Generator Agreements or other agreements required in order to enable dispatch of SVP resources by the ISO.  With respect to the PX, SVP sold power, and dispatched that power through its scheduling coordinator, Pacific Gas and Electric Company, in response to requests or bids submitted to SVP from time to time by the PX.</w:t>
      </w:r>
      <w:r>
        <w:rPr>
          <w:rFonts w:eastAsia="Times New Roman" w:cs="Times New Roman" w:ascii="Times New Roman" w:hAnsi="Times New Roman"/>
          <w:color w:val="000000"/>
          <w:sz w:val="24"/>
          <w:szCs w:val="24"/>
          <w:shd w:fill="00FF00" w:val="clear"/>
        </w:rPr>
        <w:t xml:space="preserve"> </w:t>
      </w:r>
      <w:r>
        <w:rPr>
          <w:rFonts w:eastAsia="Times New Roman" w:cs="Times New Roman" w:ascii="Times New Roman" w:hAnsi="Times New Roman"/>
          <w:color w:val="000000"/>
          <w:sz w:val="24"/>
          <w:szCs w:val="24"/>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720" w:start="720" w:end="0"/>
        <w:jc w:val="start"/>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Q.</w:t>
        <w:tab/>
        <w:t>DID THE ISO INCLUDE SVP’S GENERATION UNITS IN ITS DETERMINATION OF THE MITIGATED MARKET CLEARING PRICE?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720" w:start="72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w:t>
        <w:tab/>
        <w:t>The ISO apparently did not use SVP’s heat rates in determining the Mitigated Market Clearing Price.  While SVP’s heat rates may have made its unit the marginal unit in many of the hours in which the unit was dispatched to provide imbalance energy during the period in question, SVP’s heat rates are not among those identified in the ISO’s data in this proceeding.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720" w:start="720" w:end="0"/>
        <w:jc w:val="start"/>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Q:</w:t>
        <w:tab/>
        <w:t>DID YOU SUPPLY THE ISO WITH YOUR HEAT RATINGS IN RESPONSE TO THE COMMISSION’S APRIL 26, 2001 ORDER?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720" w:start="72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w:t>
        <w:tab/>
        <w:t>Yes, SVP submitted its heat rate information to the Commission and the ISO under seal on or about May 1, 2001.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720" w:start="720" w:end="0"/>
        <w:jc w:val="start"/>
        <w:rPr>
          <w:rFonts w:ascii="Times New Roman" w:hAnsi="Times New Roman" w:eastAsia="Times New Roman" w:cs="Times New Roman"/>
          <w:b/>
          <w:bCs/>
          <w:color w:val="000000"/>
          <w:sz w:val="24"/>
          <w:szCs w:val="2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720" w:start="720" w:end="0"/>
        <w:jc w:val="start"/>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Q.</w:t>
        <w:tab/>
        <w:t>PLEASE DOCUMENT SVP’S GAS COSTS DURING THOSE HOURS SVP’S GENERATION WAS DISPATCHED TO SUPPLY ENERGY TO THE PX.</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720" w:start="72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w:t>
        <w:tab/>
        <w:t>SVP’s entire gas portfolio consists of purchases from one supplier, BP Energy. SVP’s marginal gas costs are set forth in the attached Exhibit SVP-2, consisting of invoices from SVP’s contract gas supplier, BP Energy Company.  SVP’s Marginal costs appear with descriptions such as the “over-tolerance” or “PG&amp;E City Gate” items on the invoices, representing the cost of additional volumes purchased by SVP during the course of the month. Those additional volumes are priced at spot prices, which during the months in question were at a premium over the contracted base gas purchased by SVP to meet its anticipated native load.  The difference in pricing is shown in greater detail on the back-up documents within Exh. No. SVP-2, where the advance purchases can be seen as fixed price deals. The volumes in excess of  SVP’s anticipated needs (i.e., the volumes in excess of what SVP anticipated using to serve native load) were priced at index prices such as “Gas Daily” or “ Natural Gas Intelligence.”  Some of the excess volumes resulted in storage costs or imbalance penalties, which are shown on some of the invoices.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720" w:start="720" w:end="0"/>
        <w:jc w:val="start"/>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Q.</w:t>
        <w:tab/>
        <w:t>PLEASE DESCRIBE THE EQUIPMENT SVP UTILIZED TO PROVIDE THE SPOT SALES TO THE PX.</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720" w:start="72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w:t>
        <w:tab/>
        <w:t>SVP primarily ran its two 24.5-megawatt natural gas fired generating units, located within the City at 2339 Gianera Street.  SVP also ran its small cogen unit which produces up to 3.2 megawatts.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720" w:start="720" w:end="0"/>
        <w:jc w:val="start"/>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Q.</w:t>
        <w:tab/>
        <w:t>WHAT ARE THE HEAT RATINGS ON THE EQUIPMENT USED TO SUPPLY ELECTRICITY IN SPOT MARKET SALES?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720" w:start="72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w:t>
        <w:tab/>
        <w:t>The heat rate of each of the two generating units at the Gianera Street location is approximately 15,500 Btu per kilowatt-hour. The only other gas fired unit SVP operated during the refund period was its cogen unit, which has a higher heat rating of 16,000 Btu per kilowatt-hour. Since that unit produces relatively small quantities of energy it was not included in SVP’s calculation of its costs of generation.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720" w:start="720" w:end="0"/>
        <w:jc w:val="start"/>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Q.</w:t>
        <w:tab/>
        <w:t>BASED ON SVP’S HEAT RATES AND GAS COSTS, WHAT WERE SVP’S COSTS TO SUPPLY ELECTRICITY IN THE IMBALANCE ENERGY MARKET?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720" w:start="72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w:t>
        <w:tab/>
        <w:t>A summary of SVP’s gas costs and the resulting dispatch costs for each month it sold to the PX is attached hereto as Exh. No. SVP-3.  The fuel cost portion of the calculation simply multiplies the heat rate by the natural gas cost. The gas costs used in the calculation are SVP’s marginal costs since SVP purchased the additional volumes to meet the PX’s need for energy. SVP believes it would be inappropriate to include the lower cost gas it purchased far in advance as part of its costs in this proceeding. That gas was locked in as much as six months in advance, at considerable downside risk to SVP and its customers, in order to provide fuel for generating energy for its native load customers. The energy sold to the PX was agreed upon on a day-to-day basis, and it is appropriate to allocate SVP spot market incremental gas purchases to the spot market incremental energy sales transactions.  For comparison purposes only SVP is providing a summary of its average costs of gas and resulting dispatch costs for each month, attached as Exh. No. SVP-4. The average costs are artificially low due to the inclusion of natural gas purchased far in advance of the electric generation, at prices that do not reflect the market at the time the spot electric sales took place. Applying the lower priced gas to the spot sales to the PX would unfairly deprive SVP’s customers of the benefits of lower gas prices resulting from SVP’s calculated risks of locking in future gas prices to secure fuel for generating electricity for SVP’s native load. On both Exh. Nos.  SVP-3 and SVP-4 the Commission’s proxy cost of $6.00 per MWh is added to the fuel cost to arrive at a unit cost of generating energy for each month.  Since it is not feasible to trace the exact source of much of the power exiting Santa Clara’s connections to the grid, it is also possible that some of the power delivered to the PX came from purchased sources rather than from generation. However, during the period in question, prices for any portion of these last outside purchases were substantially higher than the costs of generating electricity from Santa Clara’s owned generating units.  Therefore, the cost of power from owned generating units represents a “bare minimum” proxy price for any power delivered to the PX.</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480" w:before="0" w:after="0"/>
        <w:ind w:hanging="720" w:start="720" w:end="0"/>
        <w:jc w:val="start"/>
        <w:rPr>
          <w:rFonts w:ascii="Times New Roman" w:hAnsi="Times New Roman" w:eastAsia="Times New Roman" w:cs="Times New Roman"/>
          <w:color w:val="000000"/>
          <w:sz w:val="24"/>
          <w:szCs w:val="24"/>
        </w:rPr>
      </w:pPr>
      <w:r>
        <w:rPr/>
      </w:r>
    </w:p>
    <w:sectPr>
      <w:headerReference w:type="default" r:id="rId2"/>
      <w:type w:val="nextPage"/>
      <w:pgSz w:w="12240" w:h="15840"/>
      <w:pgMar w:left="2346" w:right="1440" w:gutter="0" w:header="720" w:top="1824" w:footer="0"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0" w:end="0"/>
      <w:jc w:val="end"/>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Exh. No. SVP-1</w:t>
    </w:r>
  </w:p>
  <w:p>
    <w:pPr>
      <w:pStyle w:val="Normal"/>
      <w:bidi w:val="0"/>
      <w:spacing w:lineRule="auto" w:line="240" w:before="0" w:after="0"/>
      <w:ind w:hanging="0" w:start="0" w:end="0"/>
      <w:jc w:val="end"/>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Page </w:t>
    </w:r>
    <w:r>
      <w:rPr>
        <w:rFonts w:eastAsia="Times New Roman" w:cs="Times New Roman" w:ascii="Times New Roman" w:hAnsi="Times New Roman"/>
        <w:color w:val="000000"/>
        <w:sz w:val="24"/>
        <w:szCs w:val="24"/>
      </w:rPr>
      <w:fldChar w:fldCharType="begin"/>
    </w:r>
    <w:r>
      <w:rPr>
        <w:sz w:val="24"/>
        <w:szCs w:val="24"/>
        <w:rFonts w:eastAsia="Times New Roman" w:cs="Times New Roman" w:ascii="Times New Roman" w:hAnsi="Times New Roman"/>
        <w:color w:val="000000"/>
      </w:rPr>
      <w:instrText xml:space="preserve"> PAGE \* ARABIC </w:instrText>
    </w:r>
    <w:r>
      <w:rPr>
        <w:sz w:val="24"/>
        <w:szCs w:val="24"/>
        <w:rFonts w:eastAsia="Times New Roman" w:cs="Times New Roman" w:ascii="Times New Roman" w:hAnsi="Times New Roman"/>
        <w:color w:val="000000"/>
      </w:rPr>
      <w:fldChar w:fldCharType="separate"/>
    </w:r>
    <w:r>
      <w:rPr>
        <w:sz w:val="24"/>
        <w:szCs w:val="24"/>
        <w:rFonts w:eastAsia="Times New Roman" w:cs="Times New Roman" w:ascii="Times New Roman" w:hAnsi="Times New Roman"/>
        <w:color w:val="000000"/>
      </w:rPr>
      <w:t>6</w:t>
    </w:r>
    <w:r>
      <w:rPr>
        <w:sz w:val="24"/>
        <w:szCs w:val="24"/>
        <w:rFonts w:eastAsia="Times New Roman" w:cs="Times New Roman" w:ascii="Times New Roman" w:hAnsi="Times New Roman"/>
        <w:color w:val="000000"/>
      </w:rPr>
      <w:fldChar w:fldCharType="end"/>
    </w:r>
    <w:r>
      <w:rPr>
        <w:rFonts w:eastAsia="Times New Roman" w:cs="Times New Roman" w:ascii="Times New Roman" w:hAnsi="Times New Roman"/>
        <w:color w:val="000000"/>
        <w:sz w:val="24"/>
        <w:szCs w:val="24"/>
      </w:rPr>
      <w:t xml:space="preserve"> of 6</w:t>
    </w:r>
  </w:p>
  <w:p>
    <w:pPr>
      <w:pStyle w:val="Normal"/>
      <w:bidi w:val="0"/>
      <w:spacing w:lineRule="auto" w:line="240" w:before="0" w:after="0"/>
      <w:ind w:hanging="0" w:start="0" w:end="0"/>
      <w:jc w:val="end"/>
      <w:rPr>
        <w:rFonts w:ascii="Times New Roman" w:hAnsi="Times New Roman" w:eastAsia="Times New Roman" w:cs="Times New Roman"/>
        <w:color w:val="000000"/>
        <w:sz w:val="24"/>
        <w:szCs w:val="24"/>
      </w:rPr>
    </w:pPr>
    <w:r>
      <w:rPr/>
    </w:r>
  </w:p>
  <w:p>
    <w:pPr>
      <w:pStyle w:val="Normal"/>
      <w:tabs>
        <w:tab w:val="clear" w:pos="720"/>
        <w:tab w:val="left" w:pos="900" w:leader="none"/>
        <w:tab w:val="left" w:pos="1620" w:leader="none"/>
        <w:tab w:val="left" w:pos="2340" w:leader="none"/>
        <w:tab w:val="left" w:pos="3060" w:leader="none"/>
        <w:tab w:val="left" w:pos="3780" w:leader="none"/>
        <w:tab w:val="left" w:pos="4500" w:leader="none"/>
        <w:tab w:val="left" w:pos="5220" w:leader="none"/>
        <w:tab w:val="left" w:pos="5940" w:leader="none"/>
        <w:tab w:val="left" w:pos="6660" w:leader="none"/>
        <w:tab w:val="left" w:pos="7380" w:leader="none"/>
        <w:tab w:val="left" w:pos="8100" w:leader="none"/>
        <w:tab w:val="left" w:pos="8820" w:leader="none"/>
      </w:tabs>
      <w:bidi w:val="0"/>
      <w:spacing w:lineRule="auto" w:line="240" w:before="0" w:after="0"/>
      <w:ind w:hanging="0" w:start="0" w:end="0"/>
      <w:jc w:val="end"/>
      <w:rPr>
        <w:rFonts w:ascii="Times New Roman" w:hAnsi="Times New Roman" w:eastAsia="Times New Roman" w:cs="Times New Roman"/>
        <w:color w:val="000000"/>
        <w:sz w:val="24"/>
        <w:szCs w:val="24"/>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Liberation Sans" w:cs="NotoSans NF"/>
      <w:color w:val="auto"/>
      <w:kern w:val="2"/>
      <w:sz w:val="24"/>
      <w:szCs w:val="24"/>
      <w:lang w:val="en-CA" w:eastAsia="zh-CN" w:bidi="hi-IN"/>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FootnoteAnchor">
    <w:name w:val="Footnote Anchor"/>
    <w:qFormat/>
    <w:rPr>
      <w:vertAlign w:val="superscript"/>
    </w:rPr>
  </w:style>
  <w:style w:type="character" w:styleId="EndnoteAnchor">
    <w:name w:val="Endnote Anchor"/>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rPr/>
  </w:style>
  <w:style w:type="paragraph" w:styleId="Index">
    <w:name w:val="Index"/>
    <w:basedOn w:val="Normal"/>
    <w:qFormat/>
    <w:pPr/>
    <w:rPr/>
  </w:style>
  <w:style w:type="paragraph" w:styleId="TextBody">
    <w:name w:val="Text Body"/>
    <w:basedOn w:val="Normal"/>
    <w:qFormat/>
    <w:pPr/>
    <w:rPr/>
  </w:style>
  <w:style w:type="paragraph" w:styleId="TableContents">
    <w:name w:val="Table Contents"/>
    <w:basedOn w:val="TextBody"/>
    <w:qFormat/>
    <w:pPr/>
    <w:rPr/>
  </w:style>
  <w:style w:type="paragraph" w:styleId="TableHeading">
    <w:name w:val="Table Heading"/>
    <w:basedOn w:val="TableContents"/>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tyle>
  <w:style w:type="paragraph" w:styleId="FootnoteText">
    <w:name w:val="footnote text"/>
    <w:basedOn w:val="Normal"/>
    <w:pPr/>
    <w:rPr/>
  </w:style>
  <w:style w:type="paragraph" w:styleId="EndnoteText">
    <w:name w:val="end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CWozniak</dc:creator>
  <dc:description/>
  <dc:language>en-CA</dc:language>
  <cp:lastModifiedBy>13W5J01</cp:lastModifiedBy>
  <cp:revision>0</cp:revision>
  <dc:subject/>
  <dc:title/>
</cp:coreProperties>
</file>