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jc w:val="center"/>
        <w:rPr/>
      </w:pPr>
      <w:r>
        <w:rPr/>
        <w:t>UNITED STATES OF AMERICA</w:t>
      </w:r>
    </w:p>
    <w:p>
      <w:pPr>
        <w:pStyle w:val="Normal"/>
        <w:tabs>
          <w:tab w:val="clear" w:pos="720"/>
          <w:tab w:val="center" w:pos="4500" w:leader="none"/>
          <w:tab w:val="left" w:pos="5045" w:leader="none"/>
          <w:tab w:val="left" w:pos="5766" w:leader="none"/>
          <w:tab w:val="left" w:pos="6487" w:leader="none"/>
          <w:tab w:val="left" w:pos="7208" w:leader="none"/>
          <w:tab w:val="left" w:pos="7929" w:leader="none"/>
          <w:tab w:val="left" w:pos="8650" w:leader="none"/>
        </w:tabs>
        <w:rPr/>
      </w:pPr>
      <w:r>
        <w:rPr/>
        <w:tab/>
        <w:t>BEFORE THE</w:t>
      </w:r>
    </w:p>
    <w:p>
      <w:pPr>
        <w:pStyle w:val="Normal"/>
        <w:ind w:start="-720" w:end="0"/>
        <w:jc w:val="center"/>
        <w:rPr>
          <w:b/>
          <w:bCs/>
          <w:szCs w:val="26"/>
        </w:rPr>
      </w:pPr>
      <w:r>
        <w:rPr/>
        <w:t>FEDERAL ENERGY REGULATORY COMMISSION</w:t>
      </w:r>
    </w:p>
    <w:p>
      <w:pPr>
        <w:pStyle w:val="Normal"/>
        <w:ind w:start="-720" w:end="0"/>
        <w:rPr>
          <w:b/>
          <w:bCs/>
          <w:szCs w:val="26"/>
        </w:rPr>
      </w:pPr>
      <w:r>
        <w:rPr>
          <w:b/>
          <w:bCs/>
          <w:szCs w:val="26"/>
        </w:rPr>
      </w:r>
    </w:p>
    <w:p>
      <w:pPr>
        <w:pStyle w:val="Normal"/>
        <w:ind w:start="-720" w:end="0"/>
        <w:rPr>
          <w:b/>
          <w:bCs/>
          <w:szCs w:val="26"/>
        </w:rPr>
      </w:pPr>
      <w:r>
        <w:rPr>
          <w:b/>
          <w:bCs/>
          <w:szCs w:val="26"/>
        </w:rPr>
      </w:r>
    </w:p>
    <w:p>
      <w:pPr>
        <w:pStyle w:val="Normal"/>
        <w:rPr>
          <w:szCs w:val="26"/>
        </w:rPr>
      </w:pPr>
      <w:r>
        <w:rPr>
          <w:szCs w:val="26"/>
        </w:rPr>
        <w:t>San Diego Gas &amp; Electric Company,</w:t>
        <w:tab/>
        <w:tab/>
        <w:t>)</w:t>
      </w:r>
    </w:p>
    <w:p>
      <w:pPr>
        <w:pStyle w:val="Normal"/>
        <w:rPr>
          <w:szCs w:val="26"/>
        </w:rPr>
      </w:pPr>
      <w:r>
        <w:rPr>
          <w:szCs w:val="26"/>
        </w:rPr>
        <w:tab/>
        <w:tab/>
        <w:tab/>
        <w:t>Complainant</w:t>
        <w:tab/>
        <w:tab/>
        <w:t>)</w:t>
      </w:r>
    </w:p>
    <w:p>
      <w:pPr>
        <w:pStyle w:val="Normal"/>
        <w:rPr>
          <w:szCs w:val="26"/>
        </w:rPr>
      </w:pPr>
      <w:r>
        <w:rPr>
          <w:szCs w:val="26"/>
        </w:rPr>
        <w:tab/>
        <w:tab/>
        <w:tab/>
        <w:tab/>
        <w:tab/>
        <w:tab/>
        <w:tab/>
        <w:t xml:space="preserve">)  </w:t>
        <w:tab/>
        <w:t>Docket No. EL00-95-045</w:t>
      </w:r>
    </w:p>
    <w:p>
      <w:pPr>
        <w:pStyle w:val="Normal"/>
        <w:rPr>
          <w:szCs w:val="26"/>
        </w:rPr>
      </w:pPr>
      <w:r>
        <w:rPr>
          <w:szCs w:val="26"/>
        </w:rPr>
        <w:tab/>
        <w:tab/>
        <w:tab/>
        <w:t>v.</w:t>
        <w:tab/>
        <w:tab/>
        <w:tab/>
        <w:tab/>
        <w:t>)</w:t>
      </w:r>
    </w:p>
    <w:p>
      <w:pPr>
        <w:pStyle w:val="Normal"/>
        <w:rPr>
          <w:szCs w:val="26"/>
        </w:rPr>
      </w:pPr>
      <w:r>
        <w:rPr>
          <w:szCs w:val="26"/>
        </w:rPr>
        <w:tab/>
        <w:tab/>
        <w:tab/>
        <w:tab/>
        <w:tab/>
        <w:tab/>
        <w:tab/>
        <w:t>)</w:t>
      </w:r>
    </w:p>
    <w:p>
      <w:pPr>
        <w:pStyle w:val="Normal"/>
        <w:rPr>
          <w:szCs w:val="26"/>
        </w:rPr>
      </w:pPr>
      <w:r>
        <w:rPr>
          <w:szCs w:val="26"/>
        </w:rPr>
        <w:t xml:space="preserve">Sellers of Energy and Ancillary Service </w:t>
        <w:tab/>
        <w:t>)</w:t>
      </w:r>
    </w:p>
    <w:p>
      <w:pPr>
        <w:pStyle w:val="Normal"/>
        <w:rPr>
          <w:szCs w:val="26"/>
        </w:rPr>
      </w:pPr>
      <w:r>
        <w:rPr>
          <w:szCs w:val="26"/>
        </w:rPr>
        <w:t xml:space="preserve">Into Markets Operated by the California </w:t>
        <w:tab/>
        <w:t>)</w:t>
      </w:r>
    </w:p>
    <w:p>
      <w:pPr>
        <w:pStyle w:val="Normal"/>
        <w:rPr>
          <w:szCs w:val="26"/>
        </w:rPr>
      </w:pPr>
      <w:r>
        <w:rPr>
          <w:szCs w:val="26"/>
        </w:rPr>
        <w:t>Independent System Operator Corporation</w:t>
        <w:tab/>
        <w:t>)</w:t>
      </w:r>
    </w:p>
    <w:p>
      <w:pPr>
        <w:pStyle w:val="Normal"/>
        <w:rPr>
          <w:szCs w:val="26"/>
        </w:rPr>
      </w:pPr>
      <w:r>
        <w:rPr>
          <w:szCs w:val="26"/>
        </w:rPr>
        <w:t>and the California Power Exchange,</w:t>
        <w:tab/>
        <w:tab/>
        <w:t>)</w:t>
      </w:r>
    </w:p>
    <w:p>
      <w:pPr>
        <w:pStyle w:val="Normal"/>
        <w:rPr>
          <w:szCs w:val="26"/>
        </w:rPr>
      </w:pPr>
      <w:r>
        <w:rPr>
          <w:szCs w:val="26"/>
        </w:rPr>
        <w:tab/>
        <w:tab/>
        <w:tab/>
        <w:t>Respondents</w:t>
        <w:tab/>
        <w:tab/>
        <w:tab/>
        <w:t>)</w:t>
      </w:r>
    </w:p>
    <w:p>
      <w:pPr>
        <w:pStyle w:val="Normal"/>
        <w:rPr>
          <w:szCs w:val="26"/>
        </w:rPr>
      </w:pPr>
      <w:r>
        <w:rPr>
          <w:szCs w:val="26"/>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rPr>
          <w:szCs w:val="26"/>
        </w:rPr>
      </w:pPr>
      <w:r>
        <w:rPr>
          <w:szCs w:val="26"/>
        </w:rPr>
        <w:t>Investigation of Practices of the California</w:t>
        <w:tab/>
        <w:t>)</w:t>
        <w:tab/>
        <w:t>Docket No. EL00-98-042</w:t>
      </w:r>
    </w:p>
    <w:p>
      <w:pPr>
        <w:pStyle w:val="Normal"/>
        <w:rPr>
          <w:szCs w:val="26"/>
        </w:rPr>
      </w:pPr>
      <w:r>
        <w:rPr>
          <w:szCs w:val="26"/>
        </w:rPr>
        <w:t>Independent System Operator and the</w:t>
        <w:tab/>
        <w:tab/>
        <w:t>)</w:t>
      </w:r>
    </w:p>
    <w:p>
      <w:pPr>
        <w:pStyle w:val="Normal"/>
        <w:jc w:val="both"/>
        <w:rPr>
          <w:szCs w:val="26"/>
        </w:rPr>
      </w:pPr>
      <w:r>
        <w:rPr>
          <w:szCs w:val="26"/>
        </w:rPr>
        <w:t>California Power Exchange</w:t>
        <w:tab/>
        <w:tab/>
        <w:tab/>
        <w:t>)</w:t>
      </w:r>
    </w:p>
    <w:p>
      <w:pPr>
        <w:pStyle w:val="Normal"/>
        <w:jc w:val="both"/>
        <w:rPr>
          <w:szCs w:val="26"/>
        </w:rPr>
      </w:pPr>
      <w:r>
        <w:rPr>
          <w:szCs w:val="26"/>
        </w:rPr>
      </w:r>
    </w:p>
    <w:p>
      <w:pPr>
        <w:pStyle w:val="Normal"/>
        <w:jc w:val="center"/>
        <w:rPr>
          <w:b/>
          <w:bCs/>
        </w:rPr>
      </w:pPr>
      <w:r>
        <w:rPr>
          <w:b/>
          <w:bCs/>
        </w:rPr>
        <w:t>RESPONSIVE TESTIMONY OF KENNETH R. SALINE</w:t>
      </w:r>
    </w:p>
    <w:p>
      <w:pPr>
        <w:pStyle w:val="Normal"/>
        <w:jc w:val="center"/>
        <w:rPr>
          <w:b/>
          <w:bCs/>
          <w:u w:val="single"/>
        </w:rPr>
      </w:pPr>
      <w:r>
        <w:rPr>
          <w:b/>
          <w:bCs/>
          <w:u w:val="single"/>
        </w:rPr>
        <w:t>ON BEHALF OF INTERVENOR IMPERIAL IRRIGATION DISTRICT</w:t>
      </w:r>
    </w:p>
    <w:p>
      <w:pPr>
        <w:pStyle w:val="Normal"/>
        <w:jc w:val="center"/>
        <w:rPr>
          <w:b/>
          <w:bCs/>
          <w:u w:val="single"/>
        </w:rPr>
      </w:pPr>
      <w:r>
        <w:rPr>
          <w:b/>
          <w:bCs/>
          <w:u w:val="single"/>
        </w:rPr>
      </w:r>
    </w:p>
    <w:p>
      <w:pPr>
        <w:pStyle w:val="Normal"/>
        <w:jc w:val="center"/>
        <w:rPr/>
      </w:pPr>
      <w:r>
        <w:rPr/>
      </w:r>
    </w:p>
    <w:p>
      <w:pPr>
        <w:sectPr>
          <w:headerReference w:type="default" r:id="rId2"/>
          <w:headerReference w:type="first" r:id="rId3"/>
          <w:footerReference w:type="default" r:id="rId4"/>
          <w:footerReference w:type="first" r:id="rId5"/>
          <w:type w:val="nextPage"/>
          <w:pgSz w:w="12240" w:h="15840"/>
          <w:pgMar w:left="1800" w:right="1440" w:gutter="0" w:header="720" w:top="1440" w:footer="720" w:bottom="1800"/>
          <w:lnNumType w:countBy="1" w:restart="newPage" w:distance="283"/>
          <w:pgNumType w:fmt="decimal"/>
          <w:formProt w:val="false"/>
          <w:titlePg/>
          <w:textDirection w:val="lrTb"/>
          <w:docGrid w:type="default" w:linePitch="360" w:charSpace="0"/>
        </w:sectPr>
      </w:pPr>
    </w:p>
    <w:p>
      <w:pPr>
        <w:pStyle w:val="Heading2"/>
        <w:spacing w:lineRule="auto" w:line="480"/>
        <w:ind w:hanging="0" w:start="0"/>
        <w:rPr>
          <w:rStyle w:val="Hd3"/>
          <w:rFonts w:ascii="Century Schoolbook" w:hAnsi="Century Schoolbook" w:cs="Century Schoolbook"/>
          <w:b/>
          <w:bCs/>
        </w:rPr>
      </w:pPr>
      <w:r>
        <w:rPr>
          <w:rStyle w:val="Hd3"/>
          <w:rFonts w:cs="Century Schoolbook"/>
          <w:b/>
          <w:bCs/>
          <w:u w:val="single"/>
        </w:rPr>
        <w:t>QUALIFICATIONS AND OVERVIEW OF TESTIMONY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Style w:val="Hd3"/>
          <w:rFonts w:cs="Century Schoolbook"/>
          <w:b/>
          <w:bCs/>
        </w:rPr>
        <w:t>Q.  Please state your name and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rPr>
        <w:t>A</w:t>
      </w:r>
      <w:r>
        <w:rPr/>
        <w:t xml:space="preserve">. </w:t>
        <w:tab/>
        <w:t xml:space="preserve"> Kenneth R. Saline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160 N. Pasadena, Suite 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Mesa, Arizona  85201-6764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b/>
          <w:bCs/>
        </w:rPr>
      </w:pPr>
      <w:r>
        <w:rPr>
          <w:b/>
          <w:bCs/>
        </w:rPr>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Style w:val="Hd3"/>
          <w:rFonts w:cs="Century Schoolbook"/>
          <w:b/>
          <w:bCs/>
        </w:rPr>
        <w:t>Q.  Briefly describe your qualifications and relationship with Imperial Irrigation District (“IID” or the “District”).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60"/>
        <w:rPr/>
      </w:pPr>
      <w:r>
        <w:rPr>
          <w:b/>
          <w:bCs/>
        </w:rPr>
        <w:t>A.</w:t>
      </w:r>
      <w:r>
        <w:rPr/>
        <w:t xml:space="preserve">  I have over 21 years of professional experience as an electrical engineer working in the electric utility industry.  I have worked with both investor owned and publicly owned utilities.  Prior to starting my own company, K.R. Saline and Associates, PLC, in 1991, I was employed by R. W. Beck Inc. working in its Phoenix office for over 7 years.  Previous to that I was employed by San Antonio Public Service.  My work experience includes areas such as Transmission Planning, Electric Rate Studies, and Power Resource Planning.  I am a graduate of New Mexico State University, and have a Bachelor of Science degree in Electrical Engineering.  I am a registered professional engineer in the state of Arizona.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I have provided consulting services to IID on power supply, transmission planning and interconnection matters over the past 2 years.  Before 1991, I assisted IID in revenue bond financings, transmission planning, operating, and rate matters.  Recently, I assisted the District in the negotiation of its power purchase with Calpine of 150 MW.  I am very familiar with the facilities that make up the IID system, as well as IID’s operation of those facilities.</w:t>
      </w:r>
    </w:p>
    <w:p>
      <w:pPr>
        <w:pStyle w:val="Normal"/>
        <w:spacing w:lineRule="auto" w:line="480"/>
        <w:rPr>
          <w:b/>
          <w:bCs/>
        </w:rPr>
      </w:pPr>
      <w:r>
        <w:rPr>
          <w:b/>
          <w:bCs/>
        </w:rPr>
      </w:r>
    </w:p>
    <w:p>
      <w:pPr>
        <w:pStyle w:val="Normal"/>
        <w:spacing w:lineRule="auto" w:line="480"/>
        <w:rPr>
          <w:b/>
          <w:bCs/>
        </w:rPr>
      </w:pPr>
      <w:r>
        <w:rPr>
          <w:b/>
          <w:bCs/>
        </w:rPr>
        <w:t>Q.  Have you previously testified before the Federal Energy Regulatory Commission or any state public utility commissions?</w:t>
      </w:r>
    </w:p>
    <w:p>
      <w:pPr>
        <w:pStyle w:val="Normal"/>
        <w:spacing w:lineRule="auto" w:line="480"/>
        <w:rPr>
          <w:b/>
          <w:bCs/>
        </w:rPr>
      </w:pPr>
      <w:r>
        <w:rPr>
          <w:b/>
          <w:bCs/>
        </w:rPr>
      </w:r>
    </w:p>
    <w:p>
      <w:pPr>
        <w:pStyle w:val="Normal"/>
        <w:spacing w:lineRule="auto" w:line="480"/>
        <w:rPr/>
      </w:pPr>
      <w:r>
        <w:rPr>
          <w:b/>
          <w:bCs/>
        </w:rPr>
        <w:t xml:space="preserve">A.  </w:t>
      </w:r>
      <w:r>
        <w:rPr/>
        <w:t>Yes, I have testified before the Arizona Corporation Commission in matters related to retail deregulation on behalf of several public power utilities in Arizona.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b/>
          <w:bCs/>
        </w:rPr>
      </w:pPr>
      <w:r>
        <w:rPr>
          <w:b/>
          <w:bCs/>
        </w:rPr>
        <w:t>Q.  Please summarize the purpose of your testimony.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rPr>
          <w:b/>
          <w:bCs/>
        </w:rPr>
      </w:pPr>
      <w:r>
        <w:rPr>
          <w:b/>
          <w:bCs/>
        </w:rPr>
      </w:r>
    </w:p>
    <w:p>
      <w:pPr>
        <w:pStyle w:val="Normal"/>
        <w:spacing w:lineRule="auto" w:line="480"/>
        <w:rPr/>
      </w:pPr>
      <w:r>
        <w:rPr>
          <w:b/>
          <w:bCs/>
        </w:rPr>
        <w:t>A</w:t>
      </w:r>
      <w:r>
        <w:rPr/>
        <w:t>.  It is my intent to demonstrate that: (1) IID did not and could not make energy or ancillary services sales into the ISO or PX spot market; (2) IID has only made sales to third parties and never into the ISO or PX spot markets; (3) IID did not make any sales pursuant to the DOE Orders; and (4) The ISO’s data and admissions support IID’s contention that it neither made sales to the ISO spot market nor made sales pursuant to the DOE Orders.</w:t>
      </w:r>
    </w:p>
    <w:p>
      <w:pPr>
        <w:pStyle w:val="Normal"/>
        <w:spacing w:lineRule="auto" w:line="480"/>
        <w:rPr/>
      </w:pPr>
      <w:r>
        <w:rPr/>
      </w:r>
    </w:p>
    <w:p>
      <w:pPr>
        <w:pStyle w:val="Heading2"/>
        <w:ind w:hanging="0" w:start="0"/>
        <w:rPr>
          <w:b/>
          <w:bCs w:val="false"/>
          <w:u w:val="single"/>
        </w:rPr>
      </w:pPr>
      <w:r>
        <w:rPr>
          <w:b/>
          <w:bCs w:val="false"/>
          <w:u w:val="single"/>
        </w:rPr>
        <w:t>IID’S RELATIONSHIP WITH THE ISO</w:t>
      </w:r>
    </w:p>
    <w:p>
      <w:pPr>
        <w:pStyle w:val="Normal"/>
        <w:spacing w:lineRule="auto" w:line="480"/>
        <w:rPr>
          <w:b/>
          <w:bCs/>
          <w:u w:val="single"/>
        </w:rPr>
      </w:pPr>
      <w:r>
        <w:rPr>
          <w:b/>
          <w:bCs/>
          <w:u w:val="single"/>
        </w:rPr>
      </w:r>
    </w:p>
    <w:p>
      <w:pPr>
        <w:pStyle w:val="Normal"/>
        <w:spacing w:lineRule="auto" w:line="480"/>
        <w:rPr>
          <w:b/>
          <w:bCs/>
        </w:rPr>
      </w:pPr>
      <w:r>
        <w:rPr>
          <w:b/>
          <w:bCs/>
        </w:rPr>
        <w:t>Q.  Please describe IID’s relationship, if any, with the ISO and PX.</w:t>
      </w:r>
    </w:p>
    <w:p>
      <w:pPr>
        <w:pStyle w:val="Normal"/>
        <w:spacing w:lineRule="auto" w:line="480"/>
        <w:rPr/>
      </w:pPr>
      <w:r>
        <w:rPr>
          <w:b/>
          <w:bCs/>
        </w:rPr>
        <w:t xml:space="preserve">A.  </w:t>
      </w:r>
      <w:r>
        <w:rPr/>
        <w:t>IID has no contractual relationship with the ISO or PX.  IID operates its own WSCC Control Area and is a vertically integrated system containing internal generation and does not have any contractual relationship with either the ISO or PX.  IID has not entered into a Participating Generator Agreement (“PGA”) for any generation owned or operated by it.  In addition, IID has not entered into a Scheduling Coordinator Agreement (“SCA”) with the ISO.  Accordingly, IID has no contractual relationship with the ISO and is not subject to ISO Dispatch instructions.</w:t>
      </w:r>
    </w:p>
    <w:p>
      <w:pPr>
        <w:pStyle w:val="Normal"/>
        <w:spacing w:lineRule="auto" w:line="480"/>
        <w:rPr/>
      </w:pPr>
      <w:r>
        <w:rPr/>
        <w:t>IID does not have nor has it had any relationship with the California PX.  IID has not entered into any agreements with the PX.</w:t>
      </w:r>
    </w:p>
    <w:p>
      <w:pPr>
        <w:pStyle w:val="Normal"/>
        <w:spacing w:lineRule="auto" w:line="480"/>
        <w:rPr/>
      </w:pPr>
      <w:r>
        <w:rPr/>
      </w:r>
    </w:p>
    <w:p>
      <w:pPr>
        <w:pStyle w:val="Normal"/>
        <w:spacing w:lineRule="auto" w:line="480"/>
        <w:rPr>
          <w:b/>
          <w:bCs/>
        </w:rPr>
      </w:pPr>
      <w:r>
        <w:rPr>
          <w:b/>
          <w:bCs/>
        </w:rPr>
        <w:t>Q.  To what extent, if any, does IID communicate with the ISO or PX?</w:t>
      </w:r>
    </w:p>
    <w:p>
      <w:pPr>
        <w:pStyle w:val="Normal"/>
        <w:spacing w:lineRule="auto" w:line="480"/>
        <w:rPr/>
      </w:pPr>
      <w:r>
        <w:rPr>
          <w:b/>
          <w:bCs/>
        </w:rPr>
        <w:t xml:space="preserve">A.  </w:t>
      </w:r>
      <w:r>
        <w:rPr/>
        <w:t xml:space="preserve">IID communicates with the ISO via standard voice telephone lines, facsimile and US Mail.  IID does not have the communications infrastructure in place to provide the ISO with schedules pursuant to ISO scheduling procedures.  </w:t>
      </w:r>
    </w:p>
    <w:p>
      <w:pPr>
        <w:pStyle w:val="Normal"/>
        <w:spacing w:lineRule="auto" w:line="480"/>
        <w:rPr>
          <w:b/>
          <w:bCs/>
        </w:rPr>
      </w:pPr>
      <w:r>
        <w:rPr>
          <w:b/>
          <w:bCs/>
        </w:rPr>
      </w:r>
    </w:p>
    <w:p>
      <w:pPr>
        <w:pStyle w:val="Normal"/>
        <w:spacing w:lineRule="auto" w:line="480"/>
        <w:rPr>
          <w:b/>
          <w:bCs/>
        </w:rPr>
      </w:pPr>
      <w:r>
        <w:rPr>
          <w:b/>
          <w:bCs/>
        </w:rPr>
        <w:t>Q.  Did these communications limitations prohibit IID from making any sales into the ISO spot markets from October 2, 2000 through June 20, 2001?</w:t>
      </w:r>
    </w:p>
    <w:p>
      <w:pPr>
        <w:pStyle w:val="Normal"/>
        <w:spacing w:lineRule="auto" w:line="480"/>
        <w:rPr>
          <w:b/>
          <w:bCs/>
        </w:rPr>
      </w:pPr>
      <w:r>
        <w:rPr>
          <w:b/>
          <w:bCs/>
        </w:rPr>
        <w:t xml:space="preserve">A.  </w:t>
      </w:r>
      <w:r>
        <w:rPr/>
        <w:t xml:space="preserve">Yes to some extent.   The fact that IID has not signed a PGA for any of the generation it owns resulted in the IID not making any sales to the CALISO.  Since IID decided not to participate in the CALISO markets, IID did not pursue the necessary agreements or implement the necessary communications equipment or protocols with the CALISO.  </w:t>
      </w:r>
    </w:p>
    <w:p>
      <w:pPr>
        <w:pStyle w:val="Normal"/>
        <w:spacing w:lineRule="auto" w:line="480"/>
        <w:ind w:start="360" w:end="0"/>
        <w:rPr>
          <w:b/>
          <w:bCs/>
        </w:rPr>
      </w:pPr>
      <w:r>
        <w:rPr>
          <w:b/>
          <w:bCs/>
        </w:rPr>
      </w:r>
    </w:p>
    <w:p>
      <w:pPr>
        <w:pStyle w:val="Heading2"/>
        <w:ind w:hanging="0" w:start="0"/>
        <w:rPr>
          <w:b/>
          <w:bCs w:val="false"/>
          <w:u w:val="single"/>
        </w:rPr>
      </w:pPr>
      <w:r>
        <w:rPr>
          <w:b/>
          <w:bCs w:val="false"/>
          <w:u w:val="single"/>
        </w:rPr>
        <w:t>IID’S TRANSACTIONS WITH THE ISO</w:t>
      </w:r>
    </w:p>
    <w:p>
      <w:pPr>
        <w:pStyle w:val="Normal"/>
        <w:spacing w:lineRule="auto" w:line="480"/>
        <w:rPr>
          <w:b/>
          <w:bCs/>
        </w:rPr>
      </w:pPr>
      <w:r>
        <w:rPr>
          <w:b/>
          <w:bCs/>
        </w:rPr>
        <w:t>Q.  Describe the nature of the sales that IID made to the ISO from October 2, 2000 through June 20, 2001.</w:t>
      </w:r>
    </w:p>
    <w:p>
      <w:pPr>
        <w:pStyle w:val="Normal"/>
        <w:spacing w:lineRule="auto" w:line="480"/>
        <w:rPr/>
      </w:pPr>
      <w:r>
        <w:rPr>
          <w:b/>
          <w:bCs/>
        </w:rPr>
        <w:t xml:space="preserve">A.  </w:t>
      </w:r>
      <w:r>
        <w:rPr/>
        <w:t xml:space="preserve">IID made no sales to the ISO during the above-mentioned period.  </w:t>
      </w:r>
    </w:p>
    <w:p>
      <w:pPr>
        <w:pStyle w:val="Normal"/>
        <w:spacing w:lineRule="auto" w:line="480"/>
        <w:rPr>
          <w:b/>
          <w:bCs/>
        </w:rPr>
      </w:pPr>
      <w:r>
        <w:rPr>
          <w:b/>
          <w:bCs/>
        </w:rPr>
      </w:r>
    </w:p>
    <w:p>
      <w:pPr>
        <w:pStyle w:val="Normal"/>
        <w:spacing w:lineRule="auto" w:line="480"/>
        <w:rPr>
          <w:b/>
          <w:bCs/>
        </w:rPr>
      </w:pPr>
      <w:r>
        <w:rPr>
          <w:b/>
          <w:bCs/>
        </w:rPr>
        <w:t>Q.  Did IID bid into the ISO spot market?  Explain.</w:t>
      </w:r>
    </w:p>
    <w:p>
      <w:pPr>
        <w:pStyle w:val="Normal"/>
        <w:spacing w:lineRule="auto" w:line="480"/>
        <w:rPr/>
      </w:pPr>
      <w:r>
        <w:rPr>
          <w:b/>
          <w:bCs/>
        </w:rPr>
        <w:t xml:space="preserve">A.  </w:t>
      </w:r>
      <w:r>
        <w:rPr/>
        <w:t>No.  IID made no sales into ISO spot markets. Because IID is not a party to any PGA or any other written agreement with the ISO, and is not subject to the ISO Tariff, it did not and could not make bids or sales into the ISO’s spot markets.  IID only made sales to third-parties.  IID never made sales to the ISO.  Attached is the affidavits of Frank Barbera, IID’s Assistant Power Manager (Exhibit No. IID-2) and Javier O. Esparza, IID’s Superintendent Energy Manager (Exhibit No. IID-4), both of  which attest to the fact that IID never made sales to the ISO or PX spot markets.</w:t>
      </w:r>
    </w:p>
    <w:p>
      <w:pPr>
        <w:pStyle w:val="Normal"/>
        <w:spacing w:lineRule="auto" w:line="480"/>
        <w:rPr>
          <w:b/>
          <w:bCs/>
        </w:rPr>
      </w:pPr>
      <w:r>
        <w:rPr>
          <w:b/>
          <w:bCs/>
        </w:rPr>
      </w:r>
    </w:p>
    <w:p>
      <w:pPr>
        <w:pStyle w:val="Normal"/>
        <w:spacing w:lineRule="auto" w:line="480"/>
        <w:rPr>
          <w:b/>
          <w:bCs/>
        </w:rPr>
      </w:pPr>
      <w:r>
        <w:rPr>
          <w:b/>
          <w:bCs/>
        </w:rPr>
        <w:t xml:space="preserve">Q.  Describe the impact, if any, that IID’s third-party sales could have on the MCP in the ISO spot market. </w:t>
      </w:r>
    </w:p>
    <w:p>
      <w:pPr>
        <w:pStyle w:val="Normal"/>
        <w:spacing w:lineRule="auto" w:line="480"/>
        <w:rPr/>
      </w:pPr>
      <w:r>
        <w:rPr>
          <w:b/>
          <w:bCs/>
        </w:rPr>
        <w:t xml:space="preserve">A:  </w:t>
      </w:r>
      <w:r>
        <w:rPr/>
        <w:t>IID’s third-party sales could not have any impact on the MCP in the ISO spot market.  IID did not and could not bid into ISO markets and therefore could not impact the MCP of the ISO spot market.</w:t>
      </w:r>
    </w:p>
    <w:p>
      <w:pPr>
        <w:pStyle w:val="Normal"/>
        <w:spacing w:lineRule="auto" w:line="480"/>
        <w:rPr>
          <w:b/>
          <w:bCs/>
        </w:rPr>
      </w:pPr>
      <w:r>
        <w:rPr>
          <w:b/>
          <w:bCs/>
        </w:rPr>
      </w:r>
    </w:p>
    <w:p>
      <w:pPr>
        <w:pStyle w:val="Normal"/>
        <w:spacing w:lineRule="auto" w:line="480"/>
        <w:rPr>
          <w:b/>
          <w:bCs/>
        </w:rPr>
      </w:pPr>
      <w:r>
        <w:rPr>
          <w:b/>
          <w:bCs/>
        </w:rPr>
        <w:t>Q.  Were IID’s third-party sales pursuant to the ISO’s Market Rules?</w:t>
      </w:r>
    </w:p>
    <w:p>
      <w:pPr>
        <w:pStyle w:val="Normal"/>
        <w:spacing w:lineRule="auto" w:line="480"/>
        <w:rPr/>
      </w:pPr>
      <w:r>
        <w:rPr>
          <w:b/>
          <w:bCs/>
        </w:rPr>
        <w:t xml:space="preserve">A.  </w:t>
      </w:r>
      <w:r>
        <w:rPr/>
        <w:t>IID’s third-party sales were not pursuant to any Market Rules, but rather were simply based on the mutually agreed upon terms of the parties.</w:t>
      </w:r>
    </w:p>
    <w:p>
      <w:pPr>
        <w:pStyle w:val="Normal"/>
        <w:spacing w:lineRule="auto" w:line="480"/>
        <w:rPr/>
      </w:pPr>
      <w:r>
        <w:rPr/>
      </w:r>
    </w:p>
    <w:p>
      <w:pPr>
        <w:pStyle w:val="Heading2"/>
        <w:spacing w:lineRule="auto" w:line="480"/>
        <w:ind w:hanging="0" w:start="0"/>
        <w:rPr>
          <w:b/>
          <w:bCs w:val="false"/>
          <w:u w:val="single"/>
        </w:rPr>
      </w:pPr>
      <w:r>
        <w:rPr>
          <w:b/>
          <w:bCs w:val="false"/>
          <w:u w:val="single"/>
        </w:rPr>
        <w:t>IID MADE NO SALES TO THE ISO PURSUANT TO THE DOE ORDERS</w:t>
      </w:r>
    </w:p>
    <w:p>
      <w:pPr>
        <w:pStyle w:val="Normal"/>
        <w:spacing w:lineRule="auto" w:line="480"/>
        <w:rPr/>
      </w:pPr>
      <w:r>
        <w:rPr>
          <w:b/>
          <w:bCs/>
        </w:rPr>
        <w:t xml:space="preserve">Q.  Did IID make any sales to the ISO pursuant to any of the Department of Energy (“DOE”) Orders (“DOE Orders”) that the Commission referenced in </w:t>
      </w:r>
      <w:r>
        <w:rPr>
          <w:b/>
          <w:bCs/>
          <w:i/>
          <w:iCs/>
        </w:rPr>
        <w:t xml:space="preserve">San Diego Gas &amp; Electric Company, et al., </w:t>
      </w:r>
      <w:r>
        <w:rPr>
          <w:b/>
          <w:bCs/>
        </w:rPr>
        <w:t xml:space="preserve">96 FERC </w:t>
      </w:r>
      <w:r>
        <w:rPr>
          <w:rFonts w:eastAsia="WP TypographicSymbols" w:cs="WP TypographicSymbols" w:ascii="WP TypographicSymbols" w:hAnsi="WP TypographicSymbols"/>
          <w:b/>
          <w:bCs/>
        </w:rPr>
        <w:sym w:font="WP TypographicSymbols" w:char="f026"/>
      </w:r>
      <w:r>
        <w:rPr>
          <w:b/>
          <w:bCs/>
        </w:rPr>
        <w:t xml:space="preserve"> 61,120, (July 25, 2001), (“July 25 Order”)?</w:t>
      </w:r>
    </w:p>
    <w:p>
      <w:pPr>
        <w:pStyle w:val="Normal"/>
        <w:spacing w:lineRule="auto" w:line="480"/>
        <w:rPr/>
      </w:pPr>
      <w:r>
        <w:rPr>
          <w:b/>
          <w:bCs/>
        </w:rPr>
        <w:t xml:space="preserve">A.  </w:t>
      </w:r>
      <w:r>
        <w:rPr/>
        <w:t>No.  IID did not make any sales to the ISO pursuant to the DOE Orders because IID did not have any arrangements to schedule or sell to the ISO and was not listed in the DOE Orders as a must sell entity.  Rather, IID sold to third parties in the region.  Attached is the affidavit of Frank Barbera (Exhibit No. IID-2), which attests to the fact that IID never made sales pursuant to the DOE Orders.</w:t>
      </w:r>
    </w:p>
    <w:p>
      <w:pPr>
        <w:pStyle w:val="Normal"/>
        <w:spacing w:lineRule="auto" w:line="480"/>
        <w:rPr/>
      </w:pPr>
      <w:r>
        <w:rPr/>
      </w:r>
    </w:p>
    <w:p>
      <w:pPr>
        <w:pStyle w:val="Heading2"/>
        <w:spacing w:lineRule="auto" w:line="480"/>
        <w:ind w:hanging="0" w:start="0"/>
        <w:rPr>
          <w:b/>
          <w:bCs w:val="false"/>
          <w:u w:val="single"/>
        </w:rPr>
      </w:pPr>
      <w:r>
        <w:rPr>
          <w:b/>
          <w:bCs w:val="false"/>
          <w:u w:val="single"/>
        </w:rPr>
        <w:t>ISO’S DATA INDICATES THAT IID HAS NEITHER MADE SALES INTO THE ISO SPOT MARKET NOR PURSUANT TO THE DOE ORDERS</w:t>
      </w:r>
    </w:p>
    <w:p>
      <w:pPr>
        <w:pStyle w:val="BodyText"/>
        <w:spacing w:lineRule="auto" w:line="480"/>
        <w:rPr>
          <w:b/>
          <w:bCs/>
        </w:rPr>
      </w:pPr>
      <w:r>
        <w:rPr>
          <w:b/>
          <w:bCs/>
        </w:rPr>
        <w:t>Q.  Have you reviewed the data the ISO provided to all parties, regarding IID’s sales under the DOE Orders?</w:t>
      </w:r>
    </w:p>
    <w:p>
      <w:pPr>
        <w:pStyle w:val="BodyText"/>
        <w:spacing w:lineRule="auto" w:line="480"/>
        <w:rPr>
          <w:b/>
          <w:bCs/>
        </w:rPr>
      </w:pPr>
      <w:r>
        <w:rPr>
          <w:b/>
          <w:bCs/>
        </w:rPr>
        <w:t xml:space="preserve">A.  </w:t>
      </w:r>
      <w:r>
        <w:rPr/>
        <w:t>Yes.</w:t>
      </w:r>
    </w:p>
    <w:p>
      <w:pPr>
        <w:pStyle w:val="BodyText"/>
        <w:spacing w:lineRule="auto" w:line="480"/>
        <w:rPr>
          <w:b/>
          <w:bCs/>
        </w:rPr>
      </w:pPr>
      <w:r>
        <w:rPr>
          <w:b/>
          <w:bCs/>
        </w:rPr>
      </w:r>
    </w:p>
    <w:p>
      <w:pPr>
        <w:pStyle w:val="BodyText"/>
        <w:spacing w:lineRule="auto" w:line="480"/>
        <w:rPr>
          <w:b/>
          <w:bCs/>
        </w:rPr>
      </w:pPr>
      <w:r>
        <w:rPr>
          <w:b/>
          <w:bCs/>
        </w:rPr>
        <w:t>Q.  Does the data provided by the ISO accurately represent IID’s sales or lack of sales pursuant to the DOE Orders?  Explain.</w:t>
      </w:r>
    </w:p>
    <w:p>
      <w:pPr>
        <w:pStyle w:val="Normal"/>
        <w:spacing w:lineRule="auto" w:line="480"/>
        <w:rPr/>
      </w:pPr>
      <w:r>
        <w:rPr>
          <w:b/>
          <w:bCs/>
        </w:rPr>
        <w:t xml:space="preserve">A.  </w:t>
      </w:r>
      <w:r>
        <w:rPr/>
        <w:t xml:space="preserve">Yes, it appears to accurately reflect the fact that IID made no sales into the ISO and PX spot markets and therefore made no sales under the DOE Orders.  </w:t>
      </w:r>
    </w:p>
    <w:p>
      <w:pPr>
        <w:pStyle w:val="Normal"/>
        <w:spacing w:lineRule="auto" w:line="480"/>
        <w:rPr/>
      </w:pPr>
      <w:r>
        <w:rPr/>
        <w:t>Nowhere in the data provided by the ISO are there sales by IID to the ISO, PX or pursuant to the DOE Orders.</w:t>
      </w:r>
    </w:p>
    <w:p>
      <w:pPr>
        <w:pStyle w:val="Heading2"/>
        <w:spacing w:lineRule="auto" w:line="480"/>
        <w:ind w:hanging="0" w:start="0"/>
        <w:rPr>
          <w:b/>
          <w:bCs w:val="false"/>
          <w:u w:val="single"/>
        </w:rPr>
      </w:pPr>
      <w:r>
        <w:rPr>
          <w:b/>
          <w:bCs w:val="false"/>
          <w:u w:val="single"/>
        </w:rPr>
        <w:t>THE ISO ADMITS THAT IID HAS NEITHER MADE SALES INTO THE ISO SPOT MARKET NOR PURSUANT TO THE DOE ORDERS</w:t>
      </w:r>
    </w:p>
    <w:p>
      <w:pPr>
        <w:pStyle w:val="Header"/>
        <w:spacing w:lineRule="auto" w:line="480"/>
        <w:rPr>
          <w:b/>
          <w:bCs/>
        </w:rPr>
      </w:pPr>
      <w:r>
        <w:rPr>
          <w:b/>
          <w:bCs/>
        </w:rPr>
        <w:t>Q.  Have you reviewed the ISO’s responses to IID’s Request for Admissions and First Set of Interrogatories and Request for Data and Document Production?</w:t>
      </w:r>
    </w:p>
    <w:p>
      <w:pPr>
        <w:pStyle w:val="Header"/>
        <w:spacing w:lineRule="auto" w:line="480"/>
        <w:rPr/>
      </w:pPr>
      <w:r>
        <w:rPr>
          <w:b/>
          <w:bCs/>
        </w:rPr>
        <w:t xml:space="preserve">A.  </w:t>
      </w:r>
      <w:r>
        <w:rPr/>
        <w:t>Yes.  I have reviewed the ISO’s responses.</w:t>
      </w:r>
    </w:p>
    <w:p>
      <w:pPr>
        <w:pStyle w:val="Header"/>
        <w:spacing w:lineRule="auto" w:line="480"/>
        <w:rPr/>
      </w:pPr>
      <w:r>
        <w:rPr/>
      </w:r>
    </w:p>
    <w:p>
      <w:pPr>
        <w:pStyle w:val="Header"/>
        <w:spacing w:lineRule="auto" w:line="480"/>
        <w:rPr>
          <w:b/>
          <w:bCs/>
        </w:rPr>
      </w:pPr>
      <w:r>
        <w:rPr>
          <w:b/>
          <w:bCs/>
        </w:rPr>
        <w:t>Q.  Do the ISO’s responses to IID’s Request for Admissions and First Set of Interrogatories and Request for Data and Document Production support your contention that IID made no sales into the ISO or PX markets and therefore made no DOE sales?</w:t>
      </w:r>
    </w:p>
    <w:p>
      <w:pPr>
        <w:pStyle w:val="BodyText"/>
        <w:spacing w:lineRule="auto" w:line="480" w:before="0" w:after="0"/>
        <w:rPr/>
      </w:pPr>
      <w:r>
        <w:rPr>
          <w:b/>
          <w:bCs/>
        </w:rPr>
        <w:t xml:space="preserve">A.  </w:t>
      </w:r>
      <w:r>
        <w:rPr/>
        <w:t>Yes.  The ISO’s responses, attached as Exhibit No. IID-3, generally support my contention that IID made no such sales.  The ISO admits the following:</w:t>
      </w:r>
    </w:p>
    <w:p>
      <w:pPr>
        <w:pStyle w:val="BodyText"/>
        <w:spacing w:lineRule="auto" w:line="480" w:before="0" w:after="0"/>
        <w:ind w:start="720" w:end="0"/>
        <w:rPr/>
      </w:pPr>
      <w:r>
        <w:rPr/>
        <w:t xml:space="preserve">(1) IID has never entered into any contract with the ISO; </w:t>
      </w:r>
    </w:p>
    <w:p>
      <w:pPr>
        <w:pStyle w:val="BodyText"/>
        <w:spacing w:lineRule="auto" w:line="480" w:before="0" w:after="0"/>
        <w:ind w:start="720" w:end="0"/>
        <w:rPr/>
      </w:pPr>
      <w:r>
        <w:rPr/>
        <w:t xml:space="preserve">(2) IID has not entered into a Participating Generator Agreement (“PGA”) with the ISO with respect to any generation owned, leased, controlled or operated by IID; </w:t>
      </w:r>
    </w:p>
    <w:p>
      <w:pPr>
        <w:pStyle w:val="BodyText"/>
        <w:spacing w:lineRule="auto" w:line="480" w:before="0" w:after="0"/>
        <w:ind w:start="720" w:end="0"/>
        <w:rPr/>
      </w:pPr>
      <w:r>
        <w:rPr/>
        <w:t xml:space="preserve">(3)  IID has not entered into a Scheduling Coordinator Agreement (“SCA”) with the ISO; </w:t>
      </w:r>
    </w:p>
    <w:p>
      <w:pPr>
        <w:pStyle w:val="BodyText"/>
        <w:spacing w:lineRule="auto" w:line="480" w:before="0" w:after="0"/>
        <w:ind w:start="720" w:end="0"/>
        <w:rPr/>
      </w:pPr>
      <w:r>
        <w:rPr/>
        <w:t xml:space="preserve">(4) No generation owned, leased, operated or controlled by IID, and no load within IID’s service territory, is subject to ISO Dispatch instructions; </w:t>
      </w:r>
    </w:p>
    <w:p>
      <w:pPr>
        <w:pStyle w:val="BodyText"/>
        <w:spacing w:lineRule="auto" w:line="480" w:before="0" w:after="0"/>
        <w:ind w:start="720" w:end="0"/>
        <w:rPr/>
      </w:pPr>
      <w:r>
        <w:rPr/>
        <w:t xml:space="preserve">(5) ISO’s data as compiled to date in the present proceeding show no ISO or PX spot market sales made by IID during the period from October 2, 2000 through June 20, 2001; and </w:t>
      </w:r>
    </w:p>
    <w:p>
      <w:pPr>
        <w:pStyle w:val="BodyText"/>
        <w:spacing w:lineRule="auto" w:line="480" w:before="0" w:after="0"/>
        <w:ind w:start="720" w:end="0"/>
        <w:rPr>
          <w:rFonts w:ascii="Arial" w:hAnsi="Arial" w:cs="Arial"/>
        </w:rPr>
      </w:pPr>
      <w:r>
        <w:rPr/>
        <w:t>(6) “The ISO is currently re-running its settlement and billing system for the period October 2, 2000 through June 20, 2001.  However, since the ISO’s data to date show no sales into its markets made by IID during that time period, it stands to reason that the ISO’s settlement data will not show a refund liability on the part of IID during that time period.”</w:t>
      </w:r>
    </w:p>
    <w:p>
      <w:pPr>
        <w:pStyle w:val="Normal"/>
        <w:spacing w:lineRule="auto" w:line="480"/>
        <w:rPr/>
      </w:pPr>
      <w:r>
        <w:rPr/>
        <w:t>Because the ISO data “to date” shows no sales by IID into the ISO markets, the data supports IID’s contention that it made neither sales into the ISO spot markets nor sales pursuant to the DOE Orders.</w:t>
      </w:r>
    </w:p>
    <w:p>
      <w:pPr>
        <w:pStyle w:val="Heading2"/>
        <w:numPr>
          <w:ilvl w:val="0"/>
          <w:numId w:val="0"/>
        </w:numPr>
        <w:ind w:hanging="0" w:start="0"/>
        <w:jc w:val="both"/>
        <w:rPr>
          <w:b/>
          <w:bCs w:val="false"/>
          <w:u w:val="single"/>
        </w:rPr>
      </w:pPr>
      <w:r>
        <w:rPr>
          <w:b/>
          <w:bCs w:val="false"/>
          <w:u w:val="single"/>
        </w:rPr>
      </w:r>
    </w:p>
    <w:p>
      <w:pPr>
        <w:pStyle w:val="BodyText"/>
        <w:spacing w:lineRule="auto" w:line="480"/>
        <w:rPr>
          <w:b/>
          <w:bCs/>
        </w:rPr>
      </w:pPr>
      <w:r>
        <w:rPr>
          <w:b/>
          <w:bCs/>
        </w:rPr>
        <w:t>Q.  Are you aware of any evidence which indicates that IID made sales to the ISO pursuant to the DOE Orders?</w:t>
      </w:r>
    </w:p>
    <w:p>
      <w:pPr>
        <w:pStyle w:val="BodyText"/>
        <w:spacing w:lineRule="auto" w:line="480"/>
        <w:rPr/>
      </w:pPr>
      <w:r>
        <w:rPr>
          <w:b/>
          <w:bCs/>
        </w:rPr>
        <w:t xml:space="preserve">A.  </w:t>
      </w:r>
      <w:r>
        <w:rPr/>
        <w:t>No.  All of the ISO’s data and representations agree with IID’s control area data and information that there were no sales from IID to the ISO either under the DOE Order or to the ISO or PX spot markets.</w:t>
      </w:r>
    </w:p>
    <w:p>
      <w:pPr>
        <w:pStyle w:val="Heading2"/>
        <w:numPr>
          <w:ilvl w:val="0"/>
          <w:numId w:val="0"/>
        </w:numPr>
        <w:spacing w:lineRule="auto" w:line="480"/>
        <w:ind w:hanging="0" w:start="0"/>
        <w:rPr>
          <w:b/>
          <w:bCs w:val="false"/>
        </w:rPr>
      </w:pPr>
      <w:r>
        <w:rPr>
          <w:b/>
          <w:bCs w:val="false"/>
        </w:rPr>
        <w:t>Q.  Does this conclude your Direct Testimony on behalf of IID?</w:t>
      </w:r>
    </w:p>
    <w:p>
      <w:pPr>
        <w:pStyle w:val="BodyText"/>
        <w:spacing w:lineRule="auto" w:line="480" w:before="0" w:after="120"/>
        <w:rPr/>
      </w:pPr>
      <w:r>
        <w:rPr>
          <w:b/>
        </w:rPr>
        <w:t xml:space="preserve">A. </w:t>
      </w:r>
      <w:r>
        <w:rPr/>
        <w:t xml:space="preserve"> Yes.</w:t>
      </w:r>
    </w:p>
    <w:sectPr>
      <w:type w:val="continuous"/>
      <w:pgSz w:w="12240" w:h="15840"/>
      <w:pgMar w:left="1800" w:right="1440" w:gutter="0" w:header="720" w:top="1440" w:footer="720" w:bottom="180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IID-1</w:t>
    </w:r>
  </w:p>
  <w:p>
    <w:pPr>
      <w:pStyle w:val="Header"/>
      <w:rPr/>
    </w:pPr>
    <w:r>
      <w:rPr>
        <w:b/>
        <w:bCs/>
        <w:sz w:val="20"/>
      </w:rPr>
      <w:t xml:space="preserve">Docket No. EL00-95-045 </w:t>
    </w:r>
    <w:r>
      <w:rPr>
        <w:b/>
        <w:bCs/>
        <w:i/>
        <w:iCs/>
        <w:sz w:val="20"/>
      </w:rPr>
      <w:t>et 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IID-1</w:t>
    </w:r>
  </w:p>
  <w:p>
    <w:pPr>
      <w:pStyle w:val="Header"/>
      <w:rPr/>
    </w:pPr>
    <w:r>
      <w:rPr>
        <w:b/>
        <w:bCs/>
        <w:sz w:val="20"/>
      </w:rPr>
      <w:t xml:space="preserve">Docket No. EL00-95-045 </w:t>
    </w:r>
    <w:r>
      <w:rPr>
        <w:b/>
        <w:bCs/>
        <w:i/>
        <w:iCs/>
        <w:sz w:val="20"/>
      </w:rPr>
      <w:t>et al.</w:t>
    </w:r>
  </w:p>
  <w:p>
    <w:pPr>
      <w:pStyle w:val="Header"/>
      <w:rPr>
        <w:b/>
        <w:bCs/>
        <w:i/>
        <w:i/>
        <w:iCs/>
        <w:sz w:val="20"/>
      </w:rPr>
    </w:pPr>
    <w:r>
      <w:rPr>
        <w:b/>
        <w:bCs/>
        <w:i/>
        <w:i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 w:hAnsi="Century Schoolbook" w:cs="Century Schoolbook"/>
      </w:rPr>
    </w:lvl>
    <w:lvl w:ilvl="1">
      <w:start w:val="1"/>
      <w:pStyle w:val="Heading2"/>
      <w:numFmt w:val="upperLetter"/>
      <w:lvlText w:val="%2."/>
      <w:lvlJc w:val="start"/>
      <w:pPr>
        <w:tabs>
          <w:tab w:val="num" w:pos="720"/>
        </w:tabs>
        <w:ind w:start="72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entury Schoolbook" w:hAnsi="Century Schoolbook" w:cs="Century Schoolbook"/>
      <w:sz w:val="24"/>
    </w:rPr>
  </w:style>
  <w:style w:type="character" w:styleId="WW8Num12z3">
    <w:name w:val="WW8Num12z3"/>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character" w:styleId="Hd3">
    <w:name w:val="Hd 3"/>
    <w:qFormat/>
    <w:rPr>
      <w:rFonts w:ascii="Arial" w:hAnsi="Arial" w:cs="Arial"/>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2001-11-06T19:26:00Z</dcterms:created>
  <dc:creator>JRS</dc:creator>
  <dc:description/>
  <dc:language>en-CA</dc:language>
  <cp:lastModifiedBy> </cp:lastModifiedBy>
  <cp:lastPrinted>2001-11-06T15:20:00Z</cp:lastPrinted>
  <dcterms:modified xsi:type="dcterms:W3CDTF">2001-11-06T19:26:00Z</dcterms:modified>
  <cp:revision>2</cp:revision>
  <dc:subject/>
  <dc:title>UNITED STATES OF AMERICA</dc:title>
</cp:coreProperties>
</file>